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A5046">
      <w:pPr>
        <w:jc w:val="both"/>
        <w:rPr>
          <w:rFonts w:hint="default"/>
          <w:sz w:val="24"/>
          <w:szCs w:val="32"/>
          <w:lang w:val="en-US" w:eastAsia="zh-CN"/>
        </w:rPr>
      </w:pPr>
      <w:r>
        <w:rPr>
          <w:rFonts w:hint="eastAsia"/>
          <w:sz w:val="24"/>
          <w:szCs w:val="32"/>
          <w:lang w:val="en-US" w:eastAsia="zh-CN"/>
        </w:rPr>
        <w:t>附件3：</w:t>
      </w:r>
    </w:p>
    <w:p w14:paraId="78D45439">
      <w:pPr>
        <w:jc w:val="center"/>
        <w:rPr>
          <w:rFonts w:hint="eastAsia"/>
          <w:sz w:val="24"/>
          <w:szCs w:val="32"/>
          <w:lang w:val="en-US" w:eastAsia="zh-CN"/>
        </w:rPr>
      </w:pPr>
    </w:p>
    <w:p w14:paraId="10D35F60">
      <w:pPr>
        <w:jc w:val="center"/>
        <w:rPr>
          <w:rFonts w:hint="eastAsia"/>
          <w:b/>
          <w:bCs/>
          <w:sz w:val="24"/>
          <w:szCs w:val="32"/>
          <w:lang w:val="en-US" w:eastAsia="zh-CN"/>
        </w:rPr>
      </w:pPr>
      <w:r>
        <w:rPr>
          <w:rFonts w:hint="eastAsia"/>
          <w:b/>
          <w:bCs/>
          <w:sz w:val="24"/>
          <w:szCs w:val="32"/>
          <w:lang w:val="en-US" w:eastAsia="zh-CN"/>
        </w:rPr>
        <w:t>中山市黄圃人民医院采购代理机构遴选项目-资格性符合性审查</w:t>
      </w:r>
    </w:p>
    <w:p w14:paraId="60A528F6">
      <w:pPr>
        <w:jc w:val="center"/>
        <w:rPr>
          <w:rFonts w:hint="eastAsia"/>
          <w:sz w:val="24"/>
          <w:szCs w:val="32"/>
          <w:lang w:val="en-US" w:eastAsia="zh-CN"/>
        </w:rPr>
      </w:pPr>
    </w:p>
    <w:p w14:paraId="3FA1C567">
      <w:pPr>
        <w:rPr>
          <w:rFonts w:hint="default"/>
          <w:u w:val="single"/>
          <w:lang w:val="en-US" w:eastAsia="zh-CN"/>
        </w:rPr>
      </w:pPr>
      <w:r>
        <w:rPr>
          <w:rFonts w:hint="eastAsia"/>
          <w:lang w:val="en-US" w:eastAsia="zh-CN"/>
        </w:rPr>
        <w:t>评委：</w:t>
      </w:r>
      <w:r>
        <w:rPr>
          <w:rFonts w:hint="eastAsia"/>
          <w:u w:val="single"/>
          <w:lang w:val="en-US" w:eastAsia="zh-CN"/>
        </w:rPr>
        <w:t xml:space="preserve">               </w:t>
      </w:r>
      <w:r>
        <w:rPr>
          <w:rFonts w:hint="eastAsia"/>
          <w:u w:val="none"/>
          <w:lang w:val="en-US" w:eastAsia="zh-CN"/>
        </w:rPr>
        <w:t xml:space="preserve">     日期：</w:t>
      </w:r>
      <w:r>
        <w:rPr>
          <w:rFonts w:hint="eastAsia"/>
          <w:u w:val="single"/>
          <w:lang w:val="en-US" w:eastAsia="zh-CN"/>
        </w:rPr>
        <w:t xml:space="preserve">               </w:t>
      </w:r>
      <w:r>
        <w:rPr>
          <w:rFonts w:hint="eastAsia"/>
          <w:u w:val="none"/>
          <w:lang w:val="en-US" w:eastAsia="zh-CN"/>
        </w:rPr>
        <w:t xml:space="preserve">  代理机构：</w:t>
      </w:r>
      <w:r>
        <w:rPr>
          <w:rFonts w:hint="eastAsia"/>
          <w:u w:val="single"/>
          <w:lang w:val="en-US" w:eastAsia="zh-CN"/>
        </w:rPr>
        <w:t xml:space="preserve">                                     </w:t>
      </w:r>
    </w:p>
    <w:p w14:paraId="0D400F2E">
      <w:pPr>
        <w:jc w:val="both"/>
        <w:rPr>
          <w:rFonts w:hint="eastAsia"/>
          <w:sz w:val="24"/>
          <w:szCs w:val="32"/>
          <w:lang w:val="en-US" w:eastAsia="zh-CN"/>
        </w:rPr>
      </w:pPr>
    </w:p>
    <w:tbl>
      <w:tblPr>
        <w:tblStyle w:val="4"/>
        <w:tblpPr w:leftFromText="180" w:rightFromText="180" w:vertAnchor="page" w:horzAnchor="page" w:tblpX="881" w:tblpY="2630"/>
        <w:tblOverlap w:val="never"/>
        <w:tblW w:w="103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0"/>
        <w:gridCol w:w="1887"/>
        <w:gridCol w:w="6600"/>
        <w:gridCol w:w="1152"/>
      </w:tblGrid>
      <w:tr w14:paraId="66064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00" w:type="dxa"/>
          </w:tcPr>
          <w:p w14:paraId="0EB6A9A2">
            <w:r>
              <w:t>序号</w:t>
            </w:r>
          </w:p>
        </w:tc>
        <w:tc>
          <w:tcPr>
            <w:tcW w:w="8487" w:type="dxa"/>
            <w:gridSpan w:val="2"/>
            <w:vAlign w:val="center"/>
          </w:tcPr>
          <w:p w14:paraId="23C84DC7">
            <w:pPr>
              <w:jc w:val="center"/>
              <w:rPr>
                <w:b/>
                <w:bCs/>
              </w:rPr>
            </w:pPr>
            <w:r>
              <w:rPr>
                <w:b/>
                <w:bCs/>
              </w:rPr>
              <w:t>资格</w:t>
            </w:r>
            <w:r>
              <w:rPr>
                <w:rFonts w:hint="eastAsia"/>
                <w:b/>
                <w:bCs/>
                <w:lang w:eastAsia="zh-CN"/>
              </w:rPr>
              <w:t>、符合</w:t>
            </w:r>
            <w:r>
              <w:rPr>
                <w:b/>
                <w:bCs/>
              </w:rPr>
              <w:t>审查内容</w:t>
            </w:r>
          </w:p>
        </w:tc>
        <w:tc>
          <w:tcPr>
            <w:tcW w:w="1152" w:type="dxa"/>
            <w:vAlign w:val="center"/>
          </w:tcPr>
          <w:p w14:paraId="280046E4">
            <w:pPr>
              <w:jc w:val="center"/>
              <w:rPr>
                <w:rFonts w:hint="default"/>
                <w:lang w:val="en-US" w:eastAsia="zh-CN"/>
              </w:rPr>
            </w:pPr>
            <w:r>
              <w:rPr>
                <w:rFonts w:hint="eastAsia"/>
                <w:lang w:val="en-US" w:eastAsia="zh-CN"/>
              </w:rPr>
              <w:t>是否响应</w:t>
            </w:r>
          </w:p>
        </w:tc>
      </w:tr>
      <w:tr w14:paraId="7103B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63B74D16">
            <w:pPr>
              <w:jc w:val="center"/>
            </w:pPr>
          </w:p>
          <w:p w14:paraId="5292CCB1">
            <w:pPr>
              <w:jc w:val="center"/>
            </w:pPr>
            <w:r>
              <w:t>1</w:t>
            </w:r>
          </w:p>
        </w:tc>
        <w:tc>
          <w:tcPr>
            <w:tcW w:w="1887" w:type="dxa"/>
            <w:vAlign w:val="center"/>
          </w:tcPr>
          <w:p w14:paraId="2E029C6B">
            <w:pPr>
              <w:jc w:val="center"/>
            </w:pPr>
            <w:r>
              <w:t>具有独立承担民事责任的能力</w:t>
            </w:r>
          </w:p>
        </w:tc>
        <w:tc>
          <w:tcPr>
            <w:tcW w:w="6600" w:type="dxa"/>
            <w:vAlign w:val="center"/>
          </w:tcPr>
          <w:p w14:paraId="3509DB02">
            <w:pPr>
              <w:jc w:val="left"/>
            </w:pPr>
            <w: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c>
          <w:tcPr>
            <w:tcW w:w="1152" w:type="dxa"/>
          </w:tcPr>
          <w:p w14:paraId="3E620411"/>
        </w:tc>
      </w:tr>
      <w:tr w14:paraId="2C1BA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40" w:hRule="atLeast"/>
        </w:trPr>
        <w:tc>
          <w:tcPr>
            <w:tcW w:w="700" w:type="dxa"/>
          </w:tcPr>
          <w:p w14:paraId="3F7A019C">
            <w:pPr>
              <w:jc w:val="center"/>
              <w:rPr>
                <w:rFonts w:hint="eastAsia"/>
                <w:lang w:val="en-US" w:eastAsia="zh-CN"/>
              </w:rPr>
            </w:pPr>
          </w:p>
          <w:p w14:paraId="630BBFA1">
            <w:pPr>
              <w:jc w:val="center"/>
              <w:rPr>
                <w:rFonts w:hint="eastAsia" w:eastAsiaTheme="minorEastAsia"/>
                <w:lang w:val="en-US" w:eastAsia="zh-CN"/>
              </w:rPr>
            </w:pPr>
            <w:r>
              <w:rPr>
                <w:rFonts w:hint="eastAsia"/>
                <w:lang w:val="en-US" w:eastAsia="zh-CN"/>
              </w:rPr>
              <w:t>2</w:t>
            </w:r>
          </w:p>
        </w:tc>
        <w:tc>
          <w:tcPr>
            <w:tcW w:w="1887" w:type="dxa"/>
            <w:vAlign w:val="center"/>
          </w:tcPr>
          <w:p w14:paraId="3680CC88">
            <w:pPr>
              <w:jc w:val="center"/>
              <w:rPr>
                <w:rFonts w:hint="default" w:eastAsiaTheme="minorEastAsia"/>
                <w:lang w:val="en-US" w:eastAsia="zh-CN"/>
              </w:rPr>
            </w:pPr>
            <w:r>
              <w:rPr>
                <w:rFonts w:hint="eastAsia"/>
                <w:lang w:val="en-US" w:eastAsia="zh-CN"/>
              </w:rPr>
              <w:t>符合从业要求</w:t>
            </w:r>
          </w:p>
        </w:tc>
        <w:tc>
          <w:tcPr>
            <w:tcW w:w="6600" w:type="dxa"/>
            <w:vAlign w:val="center"/>
          </w:tcPr>
          <w:p w14:paraId="3D130D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8" w:afterAutospacing="0" w:line="240" w:lineRule="auto"/>
              <w:ind w:right="0"/>
              <w:jc w:val="left"/>
              <w:textAlignment w:val="auto"/>
              <w:rPr>
                <w:rFonts w:hint="eastAsia" w:eastAsiaTheme="minorEastAsia"/>
                <w:lang w:eastAsia="zh-CN"/>
              </w:rPr>
            </w:pPr>
            <w:r>
              <w:rPr>
                <w:rFonts w:hint="eastAsia" w:asciiTheme="minorHAnsi" w:hAnsiTheme="minorHAnsi" w:eastAsiaTheme="minorEastAsia" w:cstheme="minorBidi"/>
                <w:kern w:val="2"/>
                <w:sz w:val="21"/>
                <w:szCs w:val="24"/>
                <w:lang w:val="en-US" w:eastAsia="zh-CN" w:bidi="ar-SA"/>
              </w:rPr>
              <w:t>须在广东省政府采购智慧云平台完成政府采购代理机构注册登记手续（需提供广东省政府采购智慧云平台代理机构库查询结果网页截图并加盖公章）</w:t>
            </w:r>
          </w:p>
        </w:tc>
        <w:tc>
          <w:tcPr>
            <w:tcW w:w="1152" w:type="dxa"/>
          </w:tcPr>
          <w:p w14:paraId="42B1DA0C">
            <w:pPr>
              <w:rPr>
                <w:rFonts w:hint="eastAsia"/>
              </w:rPr>
            </w:pPr>
          </w:p>
        </w:tc>
      </w:tr>
      <w:tr w14:paraId="5C779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36" w:hRule="atLeast"/>
        </w:trPr>
        <w:tc>
          <w:tcPr>
            <w:tcW w:w="700" w:type="dxa"/>
          </w:tcPr>
          <w:p w14:paraId="0B0D8408">
            <w:pPr>
              <w:jc w:val="center"/>
              <w:rPr>
                <w:rFonts w:hint="eastAsia"/>
                <w:lang w:val="en-US" w:eastAsia="zh-CN"/>
              </w:rPr>
            </w:pPr>
          </w:p>
          <w:p w14:paraId="315DA346">
            <w:pPr>
              <w:jc w:val="center"/>
              <w:rPr>
                <w:rFonts w:hint="default" w:eastAsiaTheme="minorEastAsia"/>
                <w:lang w:val="en-US" w:eastAsia="zh-CN"/>
              </w:rPr>
            </w:pPr>
            <w:r>
              <w:rPr>
                <w:rFonts w:hint="eastAsia"/>
                <w:lang w:val="en-US" w:eastAsia="zh-CN"/>
              </w:rPr>
              <w:t>3</w:t>
            </w:r>
          </w:p>
        </w:tc>
        <w:tc>
          <w:tcPr>
            <w:tcW w:w="1887" w:type="dxa"/>
            <w:vAlign w:val="center"/>
          </w:tcPr>
          <w:p w14:paraId="72990CAD">
            <w:pPr>
              <w:jc w:val="center"/>
            </w:pPr>
            <w:r>
              <w:t>具有良好的商业信誉和健全的财务会计制度</w:t>
            </w:r>
          </w:p>
        </w:tc>
        <w:tc>
          <w:tcPr>
            <w:tcW w:w="6600" w:type="dxa"/>
            <w:vAlign w:val="center"/>
          </w:tcPr>
          <w:p w14:paraId="50E87C4D">
            <w:pPr>
              <w:jc w:val="left"/>
            </w:pPr>
            <w:r>
              <w:rPr>
                <w:rFonts w:hint="eastAsia"/>
                <w:lang w:eastAsia="zh-CN"/>
              </w:rPr>
              <w:t>代理机构</w:t>
            </w:r>
            <w:r>
              <w:t>必须具有良好的商业信誉和健全的财务会计制度（提供</w:t>
            </w:r>
            <w:r>
              <w:rPr>
                <w:rFonts w:hint="eastAsia"/>
                <w:lang w:val="en-US" w:eastAsia="zh-CN"/>
              </w:rPr>
              <w:t>资格信用承诺函或2024年任意一个月财务报表</w:t>
            </w:r>
            <w:r>
              <w:t>）</w:t>
            </w:r>
          </w:p>
        </w:tc>
        <w:tc>
          <w:tcPr>
            <w:tcW w:w="1152" w:type="dxa"/>
          </w:tcPr>
          <w:p w14:paraId="338C6231"/>
        </w:tc>
      </w:tr>
      <w:tr w14:paraId="1C04A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4195EB24">
            <w:pPr>
              <w:jc w:val="center"/>
              <w:rPr>
                <w:rFonts w:hint="eastAsia"/>
                <w:lang w:val="en-US" w:eastAsia="zh-CN"/>
              </w:rPr>
            </w:pPr>
          </w:p>
          <w:p w14:paraId="0414672B">
            <w:pPr>
              <w:jc w:val="center"/>
              <w:rPr>
                <w:rFonts w:hint="default" w:eastAsiaTheme="minorEastAsia"/>
                <w:lang w:val="en-US" w:eastAsia="zh-CN"/>
              </w:rPr>
            </w:pPr>
            <w:r>
              <w:rPr>
                <w:rFonts w:hint="eastAsia"/>
                <w:lang w:val="en-US" w:eastAsia="zh-CN"/>
              </w:rPr>
              <w:t>4</w:t>
            </w:r>
          </w:p>
        </w:tc>
        <w:tc>
          <w:tcPr>
            <w:tcW w:w="1887" w:type="dxa"/>
            <w:vAlign w:val="center"/>
          </w:tcPr>
          <w:p w14:paraId="5644A2B2">
            <w:pPr>
              <w:jc w:val="center"/>
              <w:rPr>
                <w:rFonts w:hint="default" w:eastAsiaTheme="minorEastAsia"/>
                <w:lang w:val="en-US" w:eastAsia="zh-CN"/>
              </w:rPr>
            </w:pPr>
            <w:r>
              <w:t>履行合同所必需的设备和专业技术能力</w:t>
            </w:r>
          </w:p>
        </w:tc>
        <w:tc>
          <w:tcPr>
            <w:tcW w:w="6600" w:type="dxa"/>
            <w:vAlign w:val="center"/>
          </w:tcPr>
          <w:p w14:paraId="1DA1CA84">
            <w:pPr>
              <w:jc w:val="left"/>
            </w:pPr>
            <w:r>
              <w:rPr>
                <w:rFonts w:hint="eastAsia"/>
                <w:lang w:val="en-US" w:eastAsia="zh-CN"/>
              </w:rPr>
              <w:t>提供代理机构不进场开评标设备设施照片，提供项目人员清单</w:t>
            </w:r>
          </w:p>
        </w:tc>
        <w:tc>
          <w:tcPr>
            <w:tcW w:w="1152" w:type="dxa"/>
          </w:tcPr>
          <w:p w14:paraId="602671BE">
            <w:pPr>
              <w:rPr>
                <w:rFonts w:hint="eastAsia"/>
                <w:lang w:val="en-US" w:eastAsia="zh-CN"/>
              </w:rPr>
            </w:pPr>
          </w:p>
        </w:tc>
      </w:tr>
      <w:tr w14:paraId="6F376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42" w:hRule="atLeast"/>
        </w:trPr>
        <w:tc>
          <w:tcPr>
            <w:tcW w:w="700" w:type="dxa"/>
          </w:tcPr>
          <w:p w14:paraId="2EEB88F2">
            <w:pPr>
              <w:jc w:val="center"/>
              <w:rPr>
                <w:rFonts w:hint="eastAsia"/>
                <w:lang w:val="en-US" w:eastAsia="zh-CN"/>
              </w:rPr>
            </w:pPr>
          </w:p>
          <w:p w14:paraId="004D9991">
            <w:pPr>
              <w:jc w:val="center"/>
              <w:rPr>
                <w:rFonts w:hint="default" w:eastAsiaTheme="minorEastAsia"/>
                <w:lang w:val="en-US" w:eastAsia="zh-CN"/>
              </w:rPr>
            </w:pPr>
            <w:r>
              <w:rPr>
                <w:rFonts w:hint="eastAsia"/>
                <w:lang w:val="en-US" w:eastAsia="zh-CN"/>
              </w:rPr>
              <w:t>5</w:t>
            </w:r>
          </w:p>
        </w:tc>
        <w:tc>
          <w:tcPr>
            <w:tcW w:w="1887" w:type="dxa"/>
            <w:vAlign w:val="center"/>
          </w:tcPr>
          <w:p w14:paraId="7E923612">
            <w:pPr>
              <w:jc w:val="center"/>
            </w:pPr>
            <w:r>
              <w:rPr>
                <w:rFonts w:hint="eastAsia"/>
                <w:lang w:eastAsia="zh-CN"/>
              </w:rPr>
              <w:t>代理机构</w:t>
            </w:r>
            <w:r>
              <w:t>必须符合法律、行政法规规定的其他条件</w:t>
            </w:r>
          </w:p>
        </w:tc>
        <w:tc>
          <w:tcPr>
            <w:tcW w:w="6600" w:type="dxa"/>
            <w:vAlign w:val="center"/>
          </w:tcPr>
          <w:p w14:paraId="0678043D">
            <w:pPr>
              <w:jc w:val="left"/>
              <w:rPr>
                <w:rFonts w:hint="eastAsia"/>
                <w:lang w:val="en-US" w:eastAsia="zh-CN"/>
              </w:rPr>
            </w:pPr>
            <w:r>
              <w:rPr>
                <w:rFonts w:hint="eastAsia"/>
              </w:rPr>
              <w:t>代理</w:t>
            </w:r>
            <w:r>
              <w:t>机构及其工作人员未涉嫌违纪违法</w:t>
            </w:r>
            <w:r>
              <w:rPr>
                <w:rFonts w:hint="eastAsia"/>
              </w:rPr>
              <w:t>行为并受过处罚；单位负责人为同一人或者存在直接控股、管理关系的不同</w:t>
            </w:r>
            <w:r>
              <w:t>代理机构，不得</w:t>
            </w:r>
            <w:r>
              <w:rPr>
                <w:rFonts w:hint="eastAsia"/>
              </w:rPr>
              <w:t>同时</w:t>
            </w:r>
            <w:r>
              <w:t>参加</w:t>
            </w:r>
            <w:r>
              <w:rPr>
                <w:rFonts w:hint="eastAsia"/>
              </w:rPr>
              <w:t>本次</w:t>
            </w:r>
            <w:r>
              <w:t>报名</w:t>
            </w:r>
            <w:r>
              <w:rPr>
                <w:rFonts w:hint="eastAsia"/>
              </w:rPr>
              <w:t>；</w:t>
            </w:r>
            <w:r>
              <w:t>报名</w:t>
            </w:r>
            <w:r>
              <w:rPr>
                <w:rFonts w:hint="eastAsia"/>
              </w:rPr>
              <w:t>代理</w:t>
            </w:r>
            <w:r>
              <w:t>机构</w:t>
            </w:r>
            <w:r>
              <w:rPr>
                <w:rFonts w:hint="eastAsia"/>
              </w:rPr>
              <w:t>无围标、串标行为。</w:t>
            </w:r>
            <w:r>
              <w:rPr>
                <w:rFonts w:hint="eastAsia"/>
                <w:color w:val="FF0000"/>
                <w:lang w:val="en-US" w:eastAsia="zh-CN"/>
              </w:rPr>
              <w:t>（提供承诺函并加盖公章，格式自拟）</w:t>
            </w:r>
          </w:p>
        </w:tc>
        <w:tc>
          <w:tcPr>
            <w:tcW w:w="1152" w:type="dxa"/>
          </w:tcPr>
          <w:p w14:paraId="6DB2C4FA">
            <w:pPr>
              <w:rPr>
                <w:rFonts w:hint="eastAsia"/>
              </w:rPr>
            </w:pPr>
          </w:p>
        </w:tc>
      </w:tr>
      <w:tr w14:paraId="07BE4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75" w:hRule="atLeast"/>
        </w:trPr>
        <w:tc>
          <w:tcPr>
            <w:tcW w:w="700" w:type="dxa"/>
          </w:tcPr>
          <w:p w14:paraId="3163CEFF">
            <w:pPr>
              <w:jc w:val="center"/>
              <w:rPr>
                <w:rFonts w:hint="eastAsia"/>
                <w:lang w:val="en-US" w:eastAsia="zh-CN"/>
              </w:rPr>
            </w:pPr>
          </w:p>
          <w:p w14:paraId="28DE396E">
            <w:pPr>
              <w:jc w:val="center"/>
              <w:rPr>
                <w:rFonts w:hint="eastAsia"/>
                <w:lang w:val="en-US" w:eastAsia="zh-CN"/>
              </w:rPr>
            </w:pPr>
          </w:p>
          <w:p w14:paraId="02E8E9F4">
            <w:pPr>
              <w:jc w:val="center"/>
              <w:rPr>
                <w:rFonts w:hint="default"/>
                <w:lang w:val="en-US" w:eastAsia="zh-CN"/>
              </w:rPr>
            </w:pPr>
            <w:r>
              <w:rPr>
                <w:rFonts w:hint="eastAsia"/>
                <w:lang w:val="en-US" w:eastAsia="zh-CN"/>
              </w:rPr>
              <w:t>6</w:t>
            </w:r>
          </w:p>
        </w:tc>
        <w:tc>
          <w:tcPr>
            <w:tcW w:w="1887" w:type="dxa"/>
            <w:vAlign w:val="center"/>
          </w:tcPr>
          <w:p w14:paraId="14B84B19">
            <w:pPr>
              <w:jc w:val="center"/>
              <w:rPr>
                <w:rFonts w:hint="default" w:eastAsiaTheme="minorEastAsia"/>
                <w:lang w:val="en-US" w:eastAsia="zh-CN"/>
              </w:rPr>
            </w:pPr>
            <w:r>
              <w:rPr>
                <w:rFonts w:hint="eastAsia"/>
                <w:lang w:val="en-US" w:eastAsia="zh-CN"/>
              </w:rPr>
              <w:t>诚信承诺</w:t>
            </w:r>
          </w:p>
        </w:tc>
        <w:tc>
          <w:tcPr>
            <w:tcW w:w="6600" w:type="dxa"/>
            <w:vAlign w:val="center"/>
          </w:tcPr>
          <w:p w14:paraId="3B7AC7CC">
            <w:pPr>
              <w:jc w:val="left"/>
              <w:rPr>
                <w:rFonts w:hint="eastAsia"/>
                <w:lang w:val="en-US" w:eastAsia="zh-CN"/>
              </w:rPr>
            </w:pPr>
            <w:r>
              <w:rPr>
                <w:rFonts w:hint="eastAsia"/>
                <w:lang w:val="en-US" w:eastAsia="zh-CN"/>
              </w:rPr>
              <w:t>代理机构需遵守诚实守信原则，一切以维护采购人利益为出发点，如采购人有违法相关法律法规的，应及时提出；如因没有执行相关政策规定，或擅自改变采购人需求而没有明确告知等，损害采购人利益的，依法追究其责任，并上报当地主管部门或监管部门。</w:t>
            </w:r>
            <w:r>
              <w:rPr>
                <w:rFonts w:hint="eastAsia"/>
                <w:color w:val="FF0000"/>
                <w:lang w:val="en-US" w:eastAsia="zh-CN"/>
              </w:rPr>
              <w:t>（提供承诺函，格式自拟）</w:t>
            </w:r>
          </w:p>
        </w:tc>
        <w:tc>
          <w:tcPr>
            <w:tcW w:w="1152" w:type="dxa"/>
          </w:tcPr>
          <w:p w14:paraId="32B514AA">
            <w:pPr>
              <w:rPr>
                <w:rFonts w:hint="eastAsia"/>
              </w:rPr>
            </w:pPr>
          </w:p>
        </w:tc>
      </w:tr>
      <w:tr w14:paraId="4784C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5" w:hRule="atLeast"/>
        </w:trPr>
        <w:tc>
          <w:tcPr>
            <w:tcW w:w="700" w:type="dxa"/>
          </w:tcPr>
          <w:p w14:paraId="7F15DDDC">
            <w:pPr>
              <w:jc w:val="center"/>
              <w:rPr>
                <w:rFonts w:hint="eastAsia"/>
                <w:lang w:val="en-US" w:eastAsia="zh-CN"/>
              </w:rPr>
            </w:pPr>
          </w:p>
          <w:p w14:paraId="327F0628">
            <w:pPr>
              <w:jc w:val="center"/>
              <w:rPr>
                <w:rFonts w:hint="eastAsia"/>
                <w:lang w:val="en-US" w:eastAsia="zh-CN"/>
              </w:rPr>
            </w:pPr>
          </w:p>
          <w:p w14:paraId="31454560">
            <w:pPr>
              <w:jc w:val="center"/>
              <w:rPr>
                <w:rFonts w:hint="default"/>
                <w:lang w:val="en-US" w:eastAsia="zh-CN"/>
              </w:rPr>
            </w:pPr>
            <w:r>
              <w:rPr>
                <w:rFonts w:hint="eastAsia"/>
                <w:lang w:val="en-US" w:eastAsia="zh-CN"/>
              </w:rPr>
              <w:t>7</w:t>
            </w:r>
          </w:p>
        </w:tc>
        <w:tc>
          <w:tcPr>
            <w:tcW w:w="1887" w:type="dxa"/>
            <w:vAlign w:val="center"/>
          </w:tcPr>
          <w:p w14:paraId="2476B6C4">
            <w:pPr>
              <w:jc w:val="center"/>
              <w:rPr>
                <w:rFonts w:hint="default" w:eastAsiaTheme="minorEastAsia"/>
                <w:lang w:val="en-US" w:eastAsia="zh-CN"/>
              </w:rPr>
            </w:pPr>
            <w:r>
              <w:rPr>
                <w:rFonts w:hint="eastAsia"/>
                <w:lang w:val="en-US" w:eastAsia="zh-CN"/>
              </w:rPr>
              <w:t>保密</w:t>
            </w:r>
          </w:p>
        </w:tc>
        <w:tc>
          <w:tcPr>
            <w:tcW w:w="6600" w:type="dxa"/>
            <w:vAlign w:val="center"/>
          </w:tcPr>
          <w:p w14:paraId="6CADDFE1">
            <w:pPr>
              <w:jc w:val="left"/>
              <w:rPr>
                <w:rFonts w:hint="eastAsia"/>
                <w:lang w:val="en-US" w:eastAsia="zh-CN"/>
              </w:rPr>
            </w:pPr>
            <w:r>
              <w:rPr>
                <w:rFonts w:hint="eastAsia"/>
                <w:lang w:val="en-US" w:eastAsia="zh-CN"/>
              </w:rPr>
              <w:t>代理机构对招标文件等内容负有保密义务，不得将可能影响采购项目公正性和采购人利益的信息透漏给利害关系人，由此造成的影响由代理机构负全责，并取消资格，禁止代理医院任何招标采购项目，并依法追究其法律责任，上报当地主管部门或监管部门。</w:t>
            </w:r>
            <w:r>
              <w:rPr>
                <w:rFonts w:hint="eastAsia"/>
                <w:color w:val="FF0000"/>
                <w:lang w:val="en-US" w:eastAsia="zh-CN"/>
              </w:rPr>
              <w:t>（提供承诺函，格式自拟）</w:t>
            </w:r>
          </w:p>
        </w:tc>
        <w:tc>
          <w:tcPr>
            <w:tcW w:w="1152" w:type="dxa"/>
          </w:tcPr>
          <w:p w14:paraId="1BDE83AA">
            <w:pPr>
              <w:rPr>
                <w:rFonts w:hint="eastAsia"/>
              </w:rPr>
            </w:pPr>
          </w:p>
        </w:tc>
      </w:tr>
      <w:tr w14:paraId="2E013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5" w:hRule="atLeast"/>
        </w:trPr>
        <w:tc>
          <w:tcPr>
            <w:tcW w:w="9187" w:type="dxa"/>
            <w:gridSpan w:val="3"/>
          </w:tcPr>
          <w:p w14:paraId="5AA646EA">
            <w:pPr>
              <w:rPr>
                <w:rFonts w:hint="eastAsia"/>
                <w:lang w:val="en-US" w:eastAsia="zh-CN"/>
              </w:rPr>
            </w:pPr>
          </w:p>
          <w:p w14:paraId="47DE7899">
            <w:pPr>
              <w:tabs>
                <w:tab w:val="left" w:pos="1790"/>
              </w:tabs>
              <w:bidi w:val="0"/>
              <w:jc w:val="center"/>
              <w:rPr>
                <w:rFonts w:hint="default"/>
                <w:lang w:val="en-US" w:eastAsia="zh-CN"/>
              </w:rPr>
            </w:pPr>
            <w:r>
              <w:rPr>
                <w:rFonts w:hint="eastAsia"/>
                <w:lang w:val="en-US" w:eastAsia="zh-CN"/>
              </w:rPr>
              <w:t>结论</w:t>
            </w:r>
          </w:p>
        </w:tc>
        <w:tc>
          <w:tcPr>
            <w:tcW w:w="1152" w:type="dxa"/>
          </w:tcPr>
          <w:p w14:paraId="34AE8C31">
            <w:pPr>
              <w:rPr>
                <w:rFonts w:hint="eastAsia"/>
              </w:rPr>
            </w:pPr>
          </w:p>
        </w:tc>
      </w:tr>
    </w:tbl>
    <w:p w14:paraId="11665E24">
      <w:pPr>
        <w:rPr>
          <w:rFonts w:hint="eastAsia"/>
        </w:rPr>
      </w:pPr>
      <w:r>
        <w:rPr>
          <w:rFonts w:hint="eastAsia"/>
        </w:rPr>
        <w:t>注：</w:t>
      </w:r>
    </w:p>
    <w:p w14:paraId="58CFF4F8">
      <w:pPr>
        <w:rPr>
          <w:rFonts w:hint="eastAsia"/>
        </w:rPr>
      </w:pPr>
      <w:r>
        <w:rPr>
          <w:rFonts w:hint="eastAsia"/>
        </w:rPr>
        <w:t>1．评审项目合格在相应列中标注“〇”，不合格则在相应列中标注“×”。</w:t>
      </w:r>
    </w:p>
    <w:p w14:paraId="72F2472C">
      <w:pPr>
        <w:rPr>
          <w:rFonts w:hint="eastAsia"/>
          <w:lang w:val="en-US" w:eastAsia="zh-CN"/>
        </w:rPr>
      </w:pPr>
      <w:r>
        <w:rPr>
          <w:rFonts w:hint="eastAsia"/>
        </w:rPr>
        <w:t>2．评审项目全部合格方可视为通过</w:t>
      </w:r>
      <w:r>
        <w:rPr>
          <w:rFonts w:hint="eastAsia"/>
          <w:lang w:eastAsia="zh-CN"/>
        </w:rPr>
        <w:t>资格</w:t>
      </w:r>
      <w:r>
        <w:rPr>
          <w:rFonts w:hint="eastAsia"/>
        </w:rPr>
        <w:t>性</w:t>
      </w:r>
      <w:r>
        <w:rPr>
          <w:rFonts w:hint="eastAsia"/>
          <w:lang w:eastAsia="zh-CN"/>
        </w:rPr>
        <w:t>符合性</w:t>
      </w:r>
      <w:r>
        <w:rPr>
          <w:rFonts w:hint="eastAsia"/>
        </w:rPr>
        <w:t>审查，在“结论”栏中填写“符合”，否则为“不符合”。</w:t>
      </w:r>
    </w:p>
    <w:p w14:paraId="05A5E39F">
      <w:pPr>
        <w:jc w:val="center"/>
        <w:rPr>
          <w:rFonts w:hint="eastAsia"/>
          <w:sz w:val="24"/>
          <w:szCs w:val="32"/>
          <w:lang w:val="en-US" w:eastAsia="zh-CN"/>
        </w:rPr>
      </w:pPr>
    </w:p>
    <w:p w14:paraId="4D5FDF2F">
      <w:pPr>
        <w:rPr>
          <w:rFonts w:hint="eastAsia"/>
          <w:lang w:val="en-US" w:eastAsia="zh-CN"/>
        </w:rPr>
      </w:pPr>
    </w:p>
    <w:p w14:paraId="4923AE6C">
      <w:pPr>
        <w:jc w:val="center"/>
        <w:rPr>
          <w:rFonts w:hint="eastAsia"/>
          <w:sz w:val="24"/>
          <w:szCs w:val="32"/>
          <w:lang w:val="en-US" w:eastAsia="zh-CN"/>
        </w:rPr>
      </w:pPr>
    </w:p>
    <w:p w14:paraId="25E59FDA">
      <w:pPr>
        <w:jc w:val="center"/>
        <w:rPr>
          <w:rFonts w:hint="eastAsia"/>
          <w:b/>
          <w:bCs/>
          <w:sz w:val="24"/>
          <w:szCs w:val="32"/>
          <w:lang w:val="en-US" w:eastAsia="zh-CN"/>
        </w:rPr>
      </w:pPr>
    </w:p>
    <w:p w14:paraId="520046BC">
      <w:pPr>
        <w:jc w:val="both"/>
        <w:rPr>
          <w:rFonts w:hint="eastAsia"/>
          <w:b/>
          <w:bCs/>
          <w:sz w:val="24"/>
          <w:szCs w:val="32"/>
          <w:lang w:val="en-US" w:eastAsia="zh-CN"/>
        </w:rPr>
      </w:pPr>
    </w:p>
    <w:p w14:paraId="279D08F7">
      <w:pPr>
        <w:jc w:val="both"/>
        <w:rPr>
          <w:rFonts w:hint="eastAsia"/>
          <w:b/>
          <w:bCs/>
          <w:sz w:val="24"/>
          <w:szCs w:val="32"/>
          <w:lang w:val="en-US" w:eastAsia="zh-CN"/>
        </w:rPr>
      </w:pPr>
    </w:p>
    <w:p w14:paraId="7D4A29AC">
      <w:pPr>
        <w:jc w:val="center"/>
        <w:rPr>
          <w:rFonts w:hint="eastAsia"/>
          <w:b/>
          <w:bCs/>
          <w:sz w:val="24"/>
          <w:szCs w:val="32"/>
          <w:lang w:val="en-US" w:eastAsia="zh-CN"/>
        </w:rPr>
      </w:pPr>
      <w:r>
        <w:rPr>
          <w:rFonts w:hint="eastAsia"/>
          <w:b/>
          <w:bCs/>
          <w:sz w:val="24"/>
          <w:szCs w:val="32"/>
          <w:lang w:val="en-US" w:eastAsia="zh-CN"/>
        </w:rPr>
        <w:t>中山市黄圃人民医院采购代理机构遴选项目-商务技术评分表</w:t>
      </w:r>
    </w:p>
    <w:p w14:paraId="69863560">
      <w:pPr>
        <w:jc w:val="center"/>
        <w:rPr>
          <w:rFonts w:hint="default"/>
          <w:sz w:val="24"/>
          <w:szCs w:val="32"/>
          <w:lang w:val="en-US" w:eastAsia="zh-CN"/>
        </w:rPr>
      </w:pPr>
    </w:p>
    <w:p w14:paraId="490ACE8F">
      <w:pPr>
        <w:rPr>
          <w:rFonts w:hint="eastAsia"/>
          <w:u w:val="single"/>
          <w:lang w:val="en-US" w:eastAsia="zh-CN"/>
        </w:rPr>
      </w:pPr>
      <w:r>
        <w:rPr>
          <w:rFonts w:hint="eastAsia"/>
          <w:lang w:val="en-US" w:eastAsia="zh-CN"/>
        </w:rPr>
        <w:t>评委：</w:t>
      </w:r>
      <w:r>
        <w:rPr>
          <w:rFonts w:hint="eastAsia"/>
          <w:u w:val="single"/>
          <w:lang w:val="en-US" w:eastAsia="zh-CN"/>
        </w:rPr>
        <w:t xml:space="preserve">               </w:t>
      </w:r>
      <w:r>
        <w:rPr>
          <w:rFonts w:hint="eastAsia"/>
          <w:u w:val="none"/>
          <w:lang w:val="en-US" w:eastAsia="zh-CN"/>
        </w:rPr>
        <w:t xml:space="preserve">     日期：</w:t>
      </w:r>
      <w:r>
        <w:rPr>
          <w:rFonts w:hint="eastAsia"/>
          <w:u w:val="single"/>
          <w:lang w:val="en-US" w:eastAsia="zh-CN"/>
        </w:rPr>
        <w:t xml:space="preserve">               </w:t>
      </w:r>
      <w:r>
        <w:rPr>
          <w:rFonts w:hint="eastAsia"/>
          <w:u w:val="none"/>
          <w:lang w:val="en-US" w:eastAsia="zh-CN"/>
        </w:rPr>
        <w:t xml:space="preserve"> 代理机构：</w:t>
      </w:r>
      <w:r>
        <w:rPr>
          <w:rFonts w:hint="eastAsia"/>
          <w:u w:val="single"/>
          <w:lang w:val="en-US" w:eastAsia="zh-CN"/>
        </w:rPr>
        <w:t xml:space="preserve">                                     </w:t>
      </w:r>
    </w:p>
    <w:p w14:paraId="21A4D521">
      <w:pPr>
        <w:pStyle w:val="2"/>
        <w:rPr>
          <w:rFonts w:hint="eastAsia"/>
          <w:u w:val="single"/>
          <w:lang w:val="en-US" w:eastAsia="zh-CN"/>
        </w:rPr>
      </w:pPr>
    </w:p>
    <w:p w14:paraId="3267C87F">
      <w:pPr>
        <w:rPr>
          <w:rFonts w:hint="default"/>
          <w:lang w:val="en-US" w:eastAsia="zh-CN"/>
        </w:rPr>
      </w:pPr>
      <w:r>
        <w:rPr>
          <w:rFonts w:hint="eastAsia"/>
          <w:lang w:val="en-US" w:eastAsia="zh-CN"/>
        </w:rPr>
        <w:t>备注：</w:t>
      </w:r>
      <w:r>
        <w:rPr>
          <w:rFonts w:hint="default"/>
          <w:lang w:val="en-US" w:eastAsia="zh-CN"/>
        </w:rPr>
        <w:t>如为总公司投标，子公司独立实施项目只需提供子公司资料</w:t>
      </w:r>
      <w:r>
        <w:rPr>
          <w:rFonts w:hint="eastAsia"/>
          <w:lang w:val="en-US" w:eastAsia="zh-CN"/>
        </w:rPr>
        <w:t>。</w:t>
      </w:r>
    </w:p>
    <w:tbl>
      <w:tblPr>
        <w:tblStyle w:val="4"/>
        <w:tblpPr w:leftFromText="180" w:rightFromText="180" w:vertAnchor="page" w:horzAnchor="page" w:tblpX="1131" w:tblpY="3465"/>
        <w:tblOverlap w:val="never"/>
        <w:tblW w:w="99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2113"/>
        <w:gridCol w:w="6175"/>
        <w:gridCol w:w="737"/>
      </w:tblGrid>
      <w:tr w14:paraId="27BF7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2" w:type="dxa"/>
          </w:tcPr>
          <w:p w14:paraId="0D5411EE">
            <w:pPr>
              <w:jc w:val="center"/>
              <w:rPr>
                <w:rFonts w:hint="eastAsia" w:ascii="宋体" w:hAnsi="宋体" w:eastAsia="宋体" w:cs="宋体"/>
                <w:sz w:val="18"/>
                <w:szCs w:val="18"/>
              </w:rPr>
            </w:pPr>
            <w:r>
              <w:rPr>
                <w:rFonts w:hint="eastAsia" w:ascii="宋体" w:hAnsi="宋体" w:eastAsia="宋体" w:cs="宋体"/>
                <w:sz w:val="18"/>
                <w:szCs w:val="18"/>
              </w:rPr>
              <w:t>评审</w:t>
            </w:r>
          </w:p>
          <w:p w14:paraId="1AC8949D">
            <w:pPr>
              <w:jc w:val="center"/>
              <w:rPr>
                <w:rFonts w:hint="eastAsia" w:ascii="宋体" w:hAnsi="宋体" w:eastAsia="宋体" w:cs="宋体"/>
                <w:sz w:val="18"/>
                <w:szCs w:val="18"/>
              </w:rPr>
            </w:pPr>
            <w:r>
              <w:rPr>
                <w:rFonts w:hint="eastAsia" w:ascii="宋体" w:hAnsi="宋体" w:eastAsia="宋体" w:cs="宋体"/>
                <w:sz w:val="18"/>
                <w:szCs w:val="18"/>
              </w:rPr>
              <w:t>因素</w:t>
            </w:r>
          </w:p>
        </w:tc>
        <w:tc>
          <w:tcPr>
            <w:tcW w:w="8288" w:type="dxa"/>
            <w:gridSpan w:val="2"/>
            <w:vAlign w:val="center"/>
          </w:tcPr>
          <w:p w14:paraId="2453AFDA">
            <w:pPr>
              <w:jc w:val="center"/>
              <w:rPr>
                <w:rFonts w:hint="eastAsia" w:ascii="宋体" w:hAnsi="宋体" w:eastAsia="宋体" w:cs="宋体"/>
                <w:sz w:val="18"/>
                <w:szCs w:val="18"/>
              </w:rPr>
            </w:pPr>
            <w:r>
              <w:rPr>
                <w:rFonts w:hint="eastAsia" w:ascii="宋体" w:hAnsi="宋体" w:eastAsia="宋体" w:cs="宋体"/>
                <w:sz w:val="18"/>
                <w:szCs w:val="18"/>
                <w:lang w:val="en-US" w:eastAsia="zh-CN"/>
              </w:rPr>
              <w:t>评选</w:t>
            </w:r>
            <w:r>
              <w:rPr>
                <w:rFonts w:hint="eastAsia" w:ascii="宋体" w:hAnsi="宋体" w:eastAsia="宋体" w:cs="宋体"/>
                <w:sz w:val="18"/>
                <w:szCs w:val="18"/>
              </w:rPr>
              <w:t>标准</w:t>
            </w:r>
          </w:p>
        </w:tc>
        <w:tc>
          <w:tcPr>
            <w:tcW w:w="737" w:type="dxa"/>
            <w:vMerge w:val="restart"/>
            <w:vAlign w:val="center"/>
          </w:tcPr>
          <w:p w14:paraId="531260F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得分</w:t>
            </w:r>
          </w:p>
        </w:tc>
      </w:tr>
      <w:tr w14:paraId="5A812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1" w:hRule="atLeast"/>
        </w:trPr>
        <w:tc>
          <w:tcPr>
            <w:tcW w:w="912" w:type="dxa"/>
          </w:tcPr>
          <w:p w14:paraId="76C7BEBD">
            <w:pPr>
              <w:jc w:val="center"/>
              <w:rPr>
                <w:rFonts w:hint="eastAsia" w:ascii="宋体" w:hAnsi="宋体" w:eastAsia="宋体" w:cs="宋体"/>
                <w:sz w:val="18"/>
                <w:szCs w:val="18"/>
              </w:rPr>
            </w:pPr>
            <w:r>
              <w:rPr>
                <w:rFonts w:hint="eastAsia" w:ascii="宋体" w:hAnsi="宋体" w:eastAsia="宋体" w:cs="宋体"/>
                <w:sz w:val="18"/>
                <w:szCs w:val="18"/>
              </w:rPr>
              <w:t>分值</w:t>
            </w:r>
          </w:p>
          <w:p w14:paraId="7CEABA0F">
            <w:pPr>
              <w:jc w:val="center"/>
              <w:rPr>
                <w:rFonts w:hint="eastAsia" w:ascii="宋体" w:hAnsi="宋体" w:eastAsia="宋体" w:cs="宋体"/>
                <w:sz w:val="18"/>
                <w:szCs w:val="18"/>
              </w:rPr>
            </w:pPr>
            <w:r>
              <w:rPr>
                <w:rFonts w:hint="eastAsia" w:ascii="宋体" w:hAnsi="宋体" w:eastAsia="宋体" w:cs="宋体"/>
                <w:sz w:val="18"/>
                <w:szCs w:val="18"/>
              </w:rPr>
              <w:t>构成</w:t>
            </w:r>
          </w:p>
        </w:tc>
        <w:tc>
          <w:tcPr>
            <w:tcW w:w="8288" w:type="dxa"/>
            <w:gridSpan w:val="2"/>
          </w:tcPr>
          <w:p w14:paraId="4F9DF2B1">
            <w:pPr>
              <w:rPr>
                <w:rFonts w:hint="eastAsia" w:ascii="宋体" w:hAnsi="宋体" w:eastAsia="宋体" w:cs="宋体"/>
                <w:sz w:val="18"/>
                <w:szCs w:val="18"/>
              </w:rPr>
            </w:pPr>
            <w:r>
              <w:rPr>
                <w:rFonts w:hint="eastAsia" w:ascii="宋体" w:hAnsi="宋体" w:eastAsia="宋体" w:cs="宋体"/>
                <w:sz w:val="18"/>
                <w:szCs w:val="18"/>
              </w:rPr>
              <w:t>技术</w:t>
            </w:r>
            <w:r>
              <w:rPr>
                <w:rFonts w:hint="eastAsia" w:ascii="宋体" w:hAnsi="宋体" w:eastAsia="宋体" w:cs="宋体"/>
                <w:sz w:val="18"/>
                <w:szCs w:val="18"/>
                <w:lang w:val="en-US" w:eastAsia="zh-CN"/>
              </w:rPr>
              <w:t>商务</w:t>
            </w:r>
            <w:r>
              <w:rPr>
                <w:rFonts w:hint="eastAsia" w:ascii="宋体" w:hAnsi="宋体" w:eastAsia="宋体" w:cs="宋体"/>
                <w:sz w:val="18"/>
                <w:szCs w:val="18"/>
              </w:rPr>
              <w:t>部分</w:t>
            </w:r>
            <w:r>
              <w:rPr>
                <w:rFonts w:hint="eastAsia" w:ascii="宋体" w:hAnsi="宋体" w:eastAsia="宋体" w:cs="宋体"/>
                <w:sz w:val="18"/>
                <w:szCs w:val="18"/>
                <w:lang w:val="en-US" w:eastAsia="zh-CN"/>
              </w:rPr>
              <w:t>9</w:t>
            </w:r>
            <w:r>
              <w:rPr>
                <w:rFonts w:hint="eastAsia" w:ascii="宋体" w:hAnsi="宋体" w:eastAsia="宋体" w:cs="宋体"/>
                <w:sz w:val="18"/>
                <w:szCs w:val="18"/>
              </w:rPr>
              <w:t>0分</w:t>
            </w:r>
          </w:p>
          <w:p w14:paraId="609CFDE1">
            <w:pPr>
              <w:rPr>
                <w:rFonts w:hint="eastAsia" w:ascii="宋体" w:hAnsi="宋体" w:eastAsia="宋体" w:cs="宋体"/>
                <w:sz w:val="18"/>
                <w:szCs w:val="18"/>
              </w:rPr>
            </w:pPr>
            <w:r>
              <w:rPr>
                <w:rFonts w:hint="eastAsia" w:ascii="宋体" w:hAnsi="宋体" w:eastAsia="宋体" w:cs="宋体"/>
                <w:sz w:val="18"/>
                <w:szCs w:val="18"/>
              </w:rPr>
              <w:t>报价得分</w:t>
            </w:r>
            <w:r>
              <w:rPr>
                <w:rFonts w:hint="eastAsia" w:ascii="宋体" w:hAnsi="宋体" w:eastAsia="宋体" w:cs="宋体"/>
                <w:sz w:val="18"/>
                <w:szCs w:val="18"/>
                <w:lang w:val="en-US" w:eastAsia="zh-CN"/>
              </w:rPr>
              <w:t>1</w:t>
            </w:r>
            <w:r>
              <w:rPr>
                <w:rFonts w:hint="eastAsia" w:ascii="宋体" w:hAnsi="宋体" w:eastAsia="宋体" w:cs="宋体"/>
                <w:sz w:val="18"/>
                <w:szCs w:val="18"/>
              </w:rPr>
              <w:t>0分</w:t>
            </w:r>
          </w:p>
        </w:tc>
        <w:tc>
          <w:tcPr>
            <w:tcW w:w="737" w:type="dxa"/>
            <w:vMerge w:val="continue"/>
          </w:tcPr>
          <w:p w14:paraId="243035FC">
            <w:pPr>
              <w:rPr>
                <w:rFonts w:hint="eastAsia" w:ascii="宋体" w:hAnsi="宋体" w:eastAsia="宋体" w:cs="宋体"/>
                <w:sz w:val="18"/>
                <w:szCs w:val="18"/>
              </w:rPr>
            </w:pPr>
          </w:p>
        </w:tc>
      </w:tr>
      <w:tr w14:paraId="63815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05" w:hRule="atLeast"/>
        </w:trPr>
        <w:tc>
          <w:tcPr>
            <w:tcW w:w="912" w:type="dxa"/>
            <w:vMerge w:val="restart"/>
          </w:tcPr>
          <w:p w14:paraId="42D61DCB">
            <w:pPr>
              <w:rPr>
                <w:rFonts w:hint="eastAsia" w:ascii="宋体" w:hAnsi="宋体" w:eastAsia="宋体" w:cs="宋体"/>
                <w:sz w:val="18"/>
                <w:szCs w:val="18"/>
                <w:lang w:val="en-US" w:eastAsia="zh-CN"/>
              </w:rPr>
            </w:pPr>
          </w:p>
          <w:p w14:paraId="034B1941">
            <w:pPr>
              <w:rPr>
                <w:rFonts w:hint="eastAsia" w:ascii="宋体" w:hAnsi="宋体" w:eastAsia="宋体" w:cs="宋体"/>
                <w:sz w:val="18"/>
                <w:szCs w:val="18"/>
                <w:lang w:val="en-US" w:eastAsia="zh-CN"/>
              </w:rPr>
            </w:pPr>
          </w:p>
          <w:p w14:paraId="4FD2A764">
            <w:pPr>
              <w:rPr>
                <w:rFonts w:hint="eastAsia" w:ascii="宋体" w:hAnsi="宋体" w:eastAsia="宋体" w:cs="宋体"/>
                <w:sz w:val="18"/>
                <w:szCs w:val="18"/>
                <w:lang w:val="en-US" w:eastAsia="zh-CN"/>
              </w:rPr>
            </w:pPr>
          </w:p>
          <w:p w14:paraId="7398DA47">
            <w:pPr>
              <w:rPr>
                <w:rFonts w:hint="eastAsia" w:ascii="宋体" w:hAnsi="宋体" w:eastAsia="宋体" w:cs="宋体"/>
                <w:sz w:val="18"/>
                <w:szCs w:val="18"/>
                <w:lang w:val="en-US" w:eastAsia="zh-CN"/>
              </w:rPr>
            </w:pPr>
          </w:p>
          <w:p w14:paraId="7173E3A5">
            <w:pPr>
              <w:rPr>
                <w:rFonts w:hint="eastAsia" w:ascii="宋体" w:hAnsi="宋体" w:eastAsia="宋体" w:cs="宋体"/>
                <w:sz w:val="18"/>
                <w:szCs w:val="18"/>
                <w:lang w:val="en-US" w:eastAsia="zh-CN"/>
              </w:rPr>
            </w:pPr>
          </w:p>
          <w:p w14:paraId="2D543701">
            <w:pPr>
              <w:rPr>
                <w:rFonts w:hint="eastAsia" w:ascii="宋体" w:hAnsi="宋体" w:eastAsia="宋体" w:cs="宋体"/>
                <w:sz w:val="18"/>
                <w:szCs w:val="18"/>
                <w:lang w:val="en-US" w:eastAsia="zh-CN"/>
              </w:rPr>
            </w:pPr>
          </w:p>
          <w:p w14:paraId="3FC6A1FE">
            <w:pPr>
              <w:rPr>
                <w:rFonts w:hint="eastAsia" w:ascii="宋体" w:hAnsi="宋体" w:eastAsia="宋体" w:cs="宋体"/>
                <w:sz w:val="18"/>
                <w:szCs w:val="18"/>
                <w:lang w:val="en-US" w:eastAsia="zh-CN"/>
              </w:rPr>
            </w:pPr>
          </w:p>
          <w:p w14:paraId="11DB7990">
            <w:pPr>
              <w:rPr>
                <w:rFonts w:hint="eastAsia" w:ascii="宋体" w:hAnsi="宋体" w:eastAsia="宋体" w:cs="宋体"/>
                <w:sz w:val="18"/>
                <w:szCs w:val="18"/>
                <w:lang w:val="en-US" w:eastAsia="zh-CN"/>
              </w:rPr>
            </w:pPr>
          </w:p>
          <w:p w14:paraId="308F9F97">
            <w:pPr>
              <w:rPr>
                <w:rFonts w:hint="eastAsia" w:ascii="宋体" w:hAnsi="宋体" w:eastAsia="宋体" w:cs="宋体"/>
                <w:sz w:val="18"/>
                <w:szCs w:val="18"/>
                <w:lang w:val="en-US" w:eastAsia="zh-CN"/>
              </w:rPr>
            </w:pPr>
          </w:p>
          <w:p w14:paraId="09B29708">
            <w:pPr>
              <w:rPr>
                <w:rFonts w:hint="eastAsia" w:ascii="宋体" w:hAnsi="宋体" w:eastAsia="宋体" w:cs="宋体"/>
                <w:sz w:val="18"/>
                <w:szCs w:val="18"/>
                <w:lang w:val="en-US" w:eastAsia="zh-CN"/>
              </w:rPr>
            </w:pPr>
          </w:p>
          <w:p w14:paraId="2099EB19">
            <w:pPr>
              <w:rPr>
                <w:rFonts w:hint="default" w:ascii="宋体" w:hAnsi="宋体" w:eastAsia="宋体" w:cs="宋体"/>
                <w:sz w:val="18"/>
                <w:szCs w:val="18"/>
                <w:lang w:eastAsia="zh-CN"/>
              </w:rPr>
            </w:pPr>
            <w:r>
              <w:rPr>
                <w:rFonts w:hint="eastAsia" w:ascii="宋体" w:hAnsi="宋体" w:eastAsia="宋体" w:cs="宋体"/>
                <w:sz w:val="18"/>
                <w:szCs w:val="18"/>
                <w:lang w:val="en-US" w:eastAsia="zh-CN"/>
              </w:rPr>
              <w:t>技术</w:t>
            </w:r>
            <w:r>
              <w:rPr>
                <w:rFonts w:hint="default" w:ascii="宋体" w:hAnsi="宋体" w:eastAsia="宋体" w:cs="宋体"/>
                <w:sz w:val="18"/>
                <w:szCs w:val="18"/>
                <w:lang w:eastAsia="zh-CN"/>
              </w:rPr>
              <w:t>、</w:t>
            </w:r>
          </w:p>
          <w:p w14:paraId="3C92053A">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商务</w:t>
            </w:r>
          </w:p>
          <w:p w14:paraId="204A4ACC">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部分</w:t>
            </w:r>
          </w:p>
        </w:tc>
        <w:tc>
          <w:tcPr>
            <w:tcW w:w="2113" w:type="dxa"/>
          </w:tcPr>
          <w:p w14:paraId="2ED94EA7">
            <w:pPr>
              <w:jc w:val="center"/>
              <w:rPr>
                <w:rFonts w:hint="eastAsia" w:ascii="宋体" w:hAnsi="宋体" w:eastAsia="宋体" w:cs="宋体"/>
                <w:sz w:val="18"/>
                <w:szCs w:val="18"/>
              </w:rPr>
            </w:pPr>
            <w:r>
              <w:rPr>
                <w:rFonts w:hint="eastAsia" w:ascii="宋体" w:hAnsi="宋体" w:eastAsia="宋体" w:cs="宋体"/>
                <w:sz w:val="18"/>
                <w:szCs w:val="18"/>
              </w:rPr>
              <w:t>服务方案 (</w:t>
            </w:r>
            <w:r>
              <w:rPr>
                <w:rFonts w:hint="eastAsia" w:ascii="宋体" w:hAnsi="宋体" w:eastAsia="宋体" w:cs="宋体"/>
                <w:sz w:val="18"/>
                <w:szCs w:val="18"/>
                <w:lang w:val="en-US" w:eastAsia="zh-CN"/>
              </w:rPr>
              <w:t>23</w:t>
            </w:r>
            <w:r>
              <w:rPr>
                <w:rFonts w:hint="eastAsia" w:ascii="宋体" w:hAnsi="宋体" w:eastAsia="宋体" w:cs="宋体"/>
                <w:sz w:val="18"/>
                <w:szCs w:val="18"/>
              </w:rPr>
              <w:t>分)</w:t>
            </w:r>
          </w:p>
        </w:tc>
        <w:tc>
          <w:tcPr>
            <w:tcW w:w="6175" w:type="dxa"/>
          </w:tcPr>
          <w:p w14:paraId="0F0D6012">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1、服务方案科学合理全面，主要包含以下方面：</w:t>
            </w:r>
          </w:p>
          <w:p w14:paraId="4DB502E2">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（1）采购代理工作流程、工作要点及规章管理制度</w:t>
            </w:r>
          </w:p>
          <w:p w14:paraId="64250078">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（2）服务质量保证</w:t>
            </w:r>
          </w:p>
          <w:p w14:paraId="7E8CBB8E">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（3）时限保证措施</w:t>
            </w:r>
          </w:p>
          <w:p w14:paraId="1455880F">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（4）廉洁从业措施</w:t>
            </w:r>
          </w:p>
          <w:p w14:paraId="092EF17B">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（5）保密措施</w:t>
            </w:r>
          </w:p>
          <w:p w14:paraId="2853B1FE">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（6）采购代理服务承诺</w:t>
            </w:r>
          </w:p>
          <w:p w14:paraId="149DA7C5">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（7）质疑和投诉处理能力</w:t>
            </w:r>
          </w:p>
          <w:p w14:paraId="346324EF">
            <w:pPr>
              <w:numPr>
                <w:ilvl w:val="0"/>
                <w:numId w:val="0"/>
              </w:num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以上服务方案详尽、科学合理，能够全面满足医院服务要求得21分；服务方案较全面、比较合理，比较能满足医院服务要求得14分；服务方案一般，只能基本满足医院服务要求得7分；无服务方案，不能满足医院服务要求得0分。</w:t>
            </w:r>
          </w:p>
          <w:p w14:paraId="5BB2B3BD">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2、其他要求：承诺</w:t>
            </w:r>
            <w:r>
              <w:rPr>
                <w:rFonts w:hint="eastAsia" w:ascii="宋体" w:hAnsi="宋体" w:eastAsia="宋体" w:cs="宋体"/>
                <w:kern w:val="2"/>
                <w:sz w:val="18"/>
                <w:szCs w:val="18"/>
                <w:lang w:val="en-US" w:eastAsia="zh-CN" w:bidi="ar-SA"/>
              </w:rPr>
              <w:t>如医院需要，服务期内每年免费为医院相关部门提供一次采购相关法规政策内容的培训，提供得2分，不能提供得0分。</w:t>
            </w:r>
          </w:p>
        </w:tc>
        <w:tc>
          <w:tcPr>
            <w:tcW w:w="737" w:type="dxa"/>
          </w:tcPr>
          <w:p w14:paraId="60062CAB">
            <w:pPr>
              <w:jc w:val="left"/>
              <w:rPr>
                <w:rFonts w:hint="eastAsia" w:ascii="宋体" w:hAnsi="宋体" w:eastAsia="宋体" w:cs="宋体"/>
                <w:sz w:val="18"/>
                <w:szCs w:val="18"/>
              </w:rPr>
            </w:pPr>
          </w:p>
        </w:tc>
      </w:tr>
      <w:tr w14:paraId="10C36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5" w:hRule="atLeast"/>
        </w:trPr>
        <w:tc>
          <w:tcPr>
            <w:tcW w:w="912" w:type="dxa"/>
            <w:vMerge w:val="continue"/>
          </w:tcPr>
          <w:p w14:paraId="3055976F">
            <w:pPr>
              <w:rPr>
                <w:rFonts w:hint="eastAsia" w:ascii="宋体" w:hAnsi="宋体" w:eastAsia="宋体" w:cs="宋体"/>
                <w:sz w:val="18"/>
                <w:szCs w:val="18"/>
              </w:rPr>
            </w:pPr>
          </w:p>
        </w:tc>
        <w:tc>
          <w:tcPr>
            <w:tcW w:w="2113" w:type="dxa"/>
            <w:vAlign w:val="top"/>
          </w:tcPr>
          <w:p w14:paraId="442644E7">
            <w:pPr>
              <w:jc w:val="center"/>
              <w:rPr>
                <w:rFonts w:hint="eastAsia" w:ascii="宋体" w:hAnsi="宋体" w:eastAsia="宋体" w:cs="宋体"/>
                <w:sz w:val="18"/>
                <w:szCs w:val="18"/>
              </w:rPr>
            </w:pPr>
            <w:r>
              <w:rPr>
                <w:rFonts w:hint="eastAsia" w:ascii="宋体" w:hAnsi="宋体" w:eastAsia="宋体" w:cs="宋体"/>
                <w:sz w:val="18"/>
                <w:szCs w:val="18"/>
                <w:lang w:val="en-US" w:eastAsia="zh-CN"/>
              </w:rPr>
              <w:t>现场汇报答辩</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30</w:t>
            </w:r>
            <w:r>
              <w:rPr>
                <w:rFonts w:hint="eastAsia" w:ascii="宋体" w:hAnsi="宋体" w:eastAsia="宋体" w:cs="宋体"/>
                <w:sz w:val="18"/>
                <w:szCs w:val="18"/>
              </w:rPr>
              <w:t>分)</w:t>
            </w:r>
          </w:p>
        </w:tc>
        <w:tc>
          <w:tcPr>
            <w:tcW w:w="6175" w:type="dxa"/>
            <w:vAlign w:val="top"/>
          </w:tcPr>
          <w:p w14:paraId="700812FD">
            <w:pPr>
              <w:jc w:val="left"/>
              <w:rPr>
                <w:rFonts w:hint="eastAsia" w:ascii="宋体" w:hAnsi="宋体" w:eastAsia="宋体" w:cs="宋体"/>
                <w:sz w:val="18"/>
                <w:szCs w:val="18"/>
              </w:rPr>
            </w:pPr>
            <w:r>
              <w:rPr>
                <w:rFonts w:hint="eastAsia" w:ascii="宋体" w:hAnsi="宋体" w:eastAsia="宋体" w:cs="宋体"/>
                <w:sz w:val="18"/>
                <w:szCs w:val="18"/>
                <w:lang w:val="en-US" w:eastAsia="zh-CN"/>
              </w:rPr>
              <w:t>对代理机构</w:t>
            </w:r>
            <w:r>
              <w:rPr>
                <w:rFonts w:hint="eastAsia" w:ascii="宋体" w:hAnsi="宋体" w:eastAsia="宋体" w:cs="宋体"/>
                <w:sz w:val="18"/>
                <w:szCs w:val="18"/>
              </w:rPr>
              <w:t>针对本</w:t>
            </w:r>
            <w:r>
              <w:rPr>
                <w:rFonts w:hint="eastAsia" w:ascii="宋体" w:hAnsi="宋体" w:eastAsia="宋体" w:cs="宋体"/>
                <w:sz w:val="18"/>
                <w:szCs w:val="18"/>
                <w:lang w:eastAsia="zh-CN"/>
              </w:rPr>
              <w:t>遴选</w:t>
            </w:r>
            <w:r>
              <w:rPr>
                <w:rFonts w:hint="eastAsia" w:ascii="宋体" w:hAnsi="宋体" w:eastAsia="宋体" w:cs="宋体"/>
                <w:sz w:val="18"/>
                <w:szCs w:val="18"/>
              </w:rPr>
              <w:t>项目的</w:t>
            </w:r>
            <w:r>
              <w:rPr>
                <w:rFonts w:hint="eastAsia" w:ascii="宋体" w:hAnsi="宋体" w:eastAsia="宋体" w:cs="宋体"/>
                <w:sz w:val="18"/>
                <w:szCs w:val="18"/>
                <w:lang w:val="en-US" w:eastAsia="zh-CN"/>
              </w:rPr>
              <w:t>现场汇报答辩（内容主要为公司介绍及针对本遴选项目的服务优势（PPT形式）和回答现场评委提问）</w:t>
            </w:r>
            <w:r>
              <w:rPr>
                <w:rFonts w:hint="eastAsia" w:ascii="宋体" w:hAnsi="宋体" w:eastAsia="宋体" w:cs="宋体"/>
                <w:sz w:val="18"/>
                <w:szCs w:val="18"/>
              </w:rPr>
              <w:t>情况进行评</w:t>
            </w:r>
            <w:r>
              <w:rPr>
                <w:rFonts w:hint="eastAsia" w:ascii="宋体" w:hAnsi="宋体" w:eastAsia="宋体" w:cs="宋体"/>
                <w:sz w:val="18"/>
                <w:szCs w:val="18"/>
                <w:lang w:val="en-US" w:eastAsia="zh-CN"/>
              </w:rPr>
              <w:t>选</w:t>
            </w:r>
          </w:p>
          <w:p w14:paraId="62BBC79D">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1、汇报答辩</w:t>
            </w:r>
            <w:r>
              <w:rPr>
                <w:rFonts w:hint="eastAsia" w:ascii="宋体" w:hAnsi="宋体" w:eastAsia="宋体" w:cs="宋体"/>
                <w:sz w:val="18"/>
                <w:szCs w:val="18"/>
              </w:rPr>
              <w:t>内容完整、科学、合理、</w:t>
            </w:r>
            <w:r>
              <w:rPr>
                <w:rFonts w:hint="eastAsia" w:ascii="宋体" w:hAnsi="宋体" w:eastAsia="宋体" w:cs="宋体"/>
                <w:sz w:val="18"/>
                <w:szCs w:val="18"/>
                <w:lang w:val="en-US" w:eastAsia="zh-CN"/>
              </w:rPr>
              <w:t>条理清晰、</w:t>
            </w:r>
            <w:r>
              <w:rPr>
                <w:rFonts w:hint="eastAsia" w:ascii="宋体" w:hAnsi="宋体" w:eastAsia="宋体" w:cs="宋体"/>
                <w:sz w:val="18"/>
                <w:szCs w:val="18"/>
              </w:rPr>
              <w:t>可行性强，得</w:t>
            </w:r>
            <w:r>
              <w:rPr>
                <w:rFonts w:hint="eastAsia" w:ascii="宋体" w:hAnsi="宋体" w:eastAsia="宋体" w:cs="宋体"/>
                <w:sz w:val="18"/>
                <w:szCs w:val="18"/>
                <w:lang w:val="en-US" w:eastAsia="zh-CN"/>
              </w:rPr>
              <w:t>30</w:t>
            </w:r>
            <w:r>
              <w:rPr>
                <w:rFonts w:hint="eastAsia" w:ascii="宋体" w:hAnsi="宋体" w:eastAsia="宋体" w:cs="宋体"/>
                <w:sz w:val="18"/>
                <w:szCs w:val="18"/>
              </w:rPr>
              <w:t>分</w:t>
            </w:r>
          </w:p>
          <w:p w14:paraId="40D5C485">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2、汇报答辩</w:t>
            </w:r>
            <w:r>
              <w:rPr>
                <w:rFonts w:hint="eastAsia" w:ascii="宋体" w:hAnsi="宋体" w:eastAsia="宋体" w:cs="宋体"/>
                <w:sz w:val="18"/>
                <w:szCs w:val="18"/>
              </w:rPr>
              <w:t>内容较完整、</w:t>
            </w:r>
            <w:r>
              <w:rPr>
                <w:rFonts w:hint="eastAsia" w:ascii="宋体" w:hAnsi="宋体" w:eastAsia="宋体" w:cs="宋体"/>
                <w:sz w:val="18"/>
                <w:szCs w:val="18"/>
                <w:lang w:eastAsia="zh-CN"/>
              </w:rPr>
              <w:t>较</w:t>
            </w:r>
            <w:r>
              <w:rPr>
                <w:rFonts w:hint="eastAsia" w:ascii="宋体" w:hAnsi="宋体" w:eastAsia="宋体" w:cs="宋体"/>
                <w:sz w:val="18"/>
                <w:szCs w:val="18"/>
              </w:rPr>
              <w:t>合理、</w:t>
            </w:r>
            <w:r>
              <w:rPr>
                <w:rFonts w:hint="eastAsia" w:ascii="宋体" w:hAnsi="宋体" w:eastAsia="宋体" w:cs="宋体"/>
                <w:sz w:val="18"/>
                <w:szCs w:val="18"/>
                <w:lang w:val="en-US" w:eastAsia="zh-CN"/>
              </w:rPr>
              <w:t>条理较清晰、</w:t>
            </w:r>
            <w:r>
              <w:rPr>
                <w:rFonts w:hint="eastAsia" w:ascii="宋体" w:hAnsi="宋体" w:eastAsia="宋体" w:cs="宋体"/>
                <w:sz w:val="18"/>
                <w:szCs w:val="18"/>
              </w:rPr>
              <w:t>可行性较强，得</w:t>
            </w:r>
            <w:r>
              <w:rPr>
                <w:rFonts w:hint="eastAsia" w:ascii="宋体" w:hAnsi="宋体" w:eastAsia="宋体" w:cs="宋体"/>
                <w:sz w:val="18"/>
                <w:szCs w:val="18"/>
                <w:lang w:val="en-US" w:eastAsia="zh-CN"/>
              </w:rPr>
              <w:t>20</w:t>
            </w:r>
            <w:r>
              <w:rPr>
                <w:rFonts w:hint="eastAsia" w:ascii="宋体" w:hAnsi="宋体" w:eastAsia="宋体" w:cs="宋体"/>
                <w:sz w:val="18"/>
                <w:szCs w:val="18"/>
              </w:rPr>
              <w:t>分</w:t>
            </w:r>
          </w:p>
          <w:p w14:paraId="7F6DAFDD">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3、汇报答辩</w:t>
            </w:r>
            <w:r>
              <w:rPr>
                <w:rFonts w:hint="eastAsia" w:ascii="宋体" w:hAnsi="宋体" w:eastAsia="宋体" w:cs="宋体"/>
                <w:sz w:val="18"/>
                <w:szCs w:val="18"/>
              </w:rPr>
              <w:t>内容</w:t>
            </w:r>
            <w:r>
              <w:rPr>
                <w:rFonts w:hint="eastAsia" w:ascii="宋体" w:hAnsi="宋体" w:eastAsia="宋体" w:cs="宋体"/>
                <w:sz w:val="18"/>
                <w:szCs w:val="18"/>
                <w:lang w:val="en-US" w:eastAsia="zh-CN"/>
              </w:rPr>
              <w:t>的完整性、</w:t>
            </w:r>
            <w:r>
              <w:rPr>
                <w:rFonts w:hint="eastAsia" w:ascii="宋体" w:hAnsi="宋体" w:eastAsia="宋体" w:cs="宋体"/>
                <w:sz w:val="18"/>
                <w:szCs w:val="18"/>
              </w:rPr>
              <w:t>合理</w:t>
            </w:r>
            <w:r>
              <w:rPr>
                <w:rFonts w:hint="eastAsia" w:ascii="宋体" w:hAnsi="宋体" w:eastAsia="宋体" w:cs="宋体"/>
                <w:sz w:val="18"/>
                <w:szCs w:val="18"/>
                <w:lang w:val="en-US" w:eastAsia="zh-CN"/>
              </w:rPr>
              <w:t>性</w:t>
            </w:r>
            <w:r>
              <w:rPr>
                <w:rFonts w:hint="eastAsia" w:ascii="宋体" w:hAnsi="宋体" w:eastAsia="宋体" w:cs="宋体"/>
                <w:sz w:val="18"/>
                <w:szCs w:val="18"/>
              </w:rPr>
              <w:t>、</w:t>
            </w:r>
            <w:r>
              <w:rPr>
                <w:rFonts w:hint="eastAsia" w:ascii="宋体" w:hAnsi="宋体" w:eastAsia="宋体" w:cs="宋体"/>
                <w:sz w:val="18"/>
                <w:szCs w:val="18"/>
                <w:lang w:val="en-US" w:eastAsia="zh-CN"/>
              </w:rPr>
              <w:t>清晰度及</w:t>
            </w:r>
            <w:r>
              <w:rPr>
                <w:rFonts w:hint="eastAsia" w:ascii="宋体" w:hAnsi="宋体" w:eastAsia="宋体" w:cs="宋体"/>
                <w:sz w:val="18"/>
                <w:szCs w:val="18"/>
              </w:rPr>
              <w:t>可行性</w:t>
            </w:r>
            <w:r>
              <w:rPr>
                <w:rFonts w:hint="eastAsia" w:ascii="宋体" w:hAnsi="宋体" w:eastAsia="宋体" w:cs="宋体"/>
                <w:sz w:val="18"/>
                <w:szCs w:val="18"/>
                <w:lang w:val="en-US" w:eastAsia="zh-CN"/>
              </w:rPr>
              <w:t>均</w:t>
            </w:r>
            <w:r>
              <w:rPr>
                <w:rFonts w:hint="eastAsia" w:ascii="宋体" w:hAnsi="宋体" w:eastAsia="宋体" w:cs="宋体"/>
                <w:sz w:val="18"/>
                <w:szCs w:val="18"/>
              </w:rPr>
              <w:t>一般，得</w:t>
            </w:r>
            <w:r>
              <w:rPr>
                <w:rFonts w:hint="eastAsia" w:ascii="宋体" w:hAnsi="宋体" w:eastAsia="宋体" w:cs="宋体"/>
                <w:sz w:val="18"/>
                <w:szCs w:val="18"/>
                <w:lang w:val="en-US" w:eastAsia="zh-CN"/>
              </w:rPr>
              <w:t>10</w:t>
            </w:r>
            <w:r>
              <w:rPr>
                <w:rFonts w:hint="eastAsia" w:ascii="宋体" w:hAnsi="宋体" w:eastAsia="宋体" w:cs="宋体"/>
                <w:sz w:val="18"/>
                <w:szCs w:val="18"/>
              </w:rPr>
              <w:t xml:space="preserve">分 </w:t>
            </w:r>
          </w:p>
          <w:p w14:paraId="5E83ACC8">
            <w:pPr>
              <w:numPr>
                <w:ilvl w:val="0"/>
                <w:numId w:val="0"/>
              </w:numPr>
              <w:jc w:val="left"/>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eastAsia="zh-CN"/>
              </w:rPr>
              <w:t>、</w:t>
            </w:r>
            <w:r>
              <w:rPr>
                <w:rFonts w:hint="eastAsia" w:ascii="宋体" w:hAnsi="宋体" w:eastAsia="宋体" w:cs="宋体"/>
                <w:sz w:val="18"/>
                <w:szCs w:val="18"/>
              </w:rPr>
              <w:t>差或无：0分</w:t>
            </w:r>
          </w:p>
        </w:tc>
        <w:tc>
          <w:tcPr>
            <w:tcW w:w="737" w:type="dxa"/>
            <w:vAlign w:val="top"/>
          </w:tcPr>
          <w:p w14:paraId="628532D3">
            <w:pPr>
              <w:jc w:val="left"/>
              <w:rPr>
                <w:rFonts w:hint="eastAsia" w:ascii="宋体" w:hAnsi="宋体" w:eastAsia="宋体" w:cs="宋体"/>
                <w:sz w:val="18"/>
                <w:szCs w:val="18"/>
                <w:lang w:val="en-US" w:eastAsia="zh-CN"/>
              </w:rPr>
            </w:pPr>
          </w:p>
        </w:tc>
      </w:tr>
      <w:tr w14:paraId="5DF8D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8" w:hRule="atLeast"/>
        </w:trPr>
        <w:tc>
          <w:tcPr>
            <w:tcW w:w="912" w:type="dxa"/>
            <w:vMerge w:val="continue"/>
          </w:tcPr>
          <w:p w14:paraId="5E1B2848">
            <w:pPr>
              <w:rPr>
                <w:rFonts w:hint="eastAsia" w:ascii="宋体" w:hAnsi="宋体" w:eastAsia="宋体" w:cs="宋体"/>
                <w:sz w:val="18"/>
                <w:szCs w:val="18"/>
              </w:rPr>
            </w:pPr>
          </w:p>
        </w:tc>
        <w:tc>
          <w:tcPr>
            <w:tcW w:w="2113" w:type="dxa"/>
          </w:tcPr>
          <w:p w14:paraId="1A09F97F">
            <w:pPr>
              <w:jc w:val="center"/>
              <w:rPr>
                <w:rFonts w:hint="eastAsia" w:ascii="宋体" w:hAnsi="宋体" w:eastAsia="宋体" w:cs="宋体"/>
                <w:sz w:val="18"/>
                <w:szCs w:val="18"/>
                <w:lang w:eastAsia="zh-CN"/>
              </w:rPr>
            </w:pPr>
            <w:r>
              <w:rPr>
                <w:rFonts w:hint="eastAsia" w:ascii="宋体" w:hAnsi="宋体" w:eastAsia="宋体" w:cs="宋体"/>
                <w:sz w:val="18"/>
                <w:szCs w:val="18"/>
              </w:rPr>
              <w:t>投入本项目的人员情况</w:t>
            </w:r>
            <w:r>
              <w:rPr>
                <w:rFonts w:hint="eastAsia" w:ascii="宋体" w:hAnsi="宋体" w:eastAsia="宋体" w:cs="宋体"/>
                <w:sz w:val="18"/>
                <w:szCs w:val="18"/>
                <w:lang w:eastAsia="zh-CN"/>
              </w:rPr>
              <w:t>、从业经验</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12</w:t>
            </w:r>
            <w:r>
              <w:rPr>
                <w:rFonts w:hint="eastAsia" w:ascii="宋体" w:hAnsi="宋体" w:eastAsia="宋体" w:cs="宋体"/>
                <w:sz w:val="18"/>
                <w:szCs w:val="18"/>
              </w:rPr>
              <w:t>分)</w:t>
            </w:r>
          </w:p>
        </w:tc>
        <w:tc>
          <w:tcPr>
            <w:tcW w:w="6175" w:type="dxa"/>
          </w:tcPr>
          <w:p w14:paraId="18E58329">
            <w:pPr>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拟投入本项目人员情况、从业经验进行评选</w:t>
            </w:r>
          </w:p>
          <w:p w14:paraId="394BC414">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1、投入人数大于3人、近三年从事医疗卫生领域代理经验丰富（≥10项）且本科以上学历人员大于3人，得9分</w:t>
            </w:r>
          </w:p>
          <w:p w14:paraId="13BABD4A">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2、投入人数大于3人，近三年从事医疗卫生领域代理经验较丰富（6-9项）且本科以上学历人员小于3人，得6分</w:t>
            </w:r>
          </w:p>
          <w:p w14:paraId="1EFDE7D3">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3、投入人数小于3人，近三年从事医疗卫生领域代理经验少（1-5项）且本科以上学历人员小于3人，得3分</w:t>
            </w:r>
          </w:p>
          <w:p w14:paraId="54775B7C">
            <w:pPr>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4、项目负责人及团队成员具有法律、药学、医学、计算机、会计、统计或经济学类专业。每提供1人得1分，同1人证书不得累计得分，最高3分。</w:t>
            </w:r>
          </w:p>
          <w:p w14:paraId="0A799F85">
            <w:pPr>
              <w:numPr>
                <w:ilvl w:val="0"/>
                <w:numId w:val="0"/>
              </w:numPr>
              <w:jc w:val="left"/>
              <w:rPr>
                <w:rFonts w:hint="eastAsia" w:ascii="宋体" w:hAnsi="宋体" w:eastAsia="宋体" w:cs="宋体"/>
                <w:sz w:val="18"/>
                <w:szCs w:val="18"/>
                <w:lang w:eastAsia="zh-CN"/>
              </w:rPr>
            </w:pPr>
            <w:r>
              <w:rPr>
                <w:rFonts w:hint="eastAsia" w:ascii="宋体" w:hAnsi="宋体" w:eastAsia="宋体" w:cs="宋体"/>
                <w:sz w:val="18"/>
                <w:szCs w:val="18"/>
                <w:highlight w:val="none"/>
              </w:rPr>
              <w:t>备注：</w:t>
            </w:r>
            <w:r>
              <w:rPr>
                <w:rFonts w:hint="eastAsia" w:ascii="宋体" w:hAnsi="宋体" w:eastAsia="宋体" w:cs="宋体"/>
                <w:color w:val="000000"/>
                <w:sz w:val="18"/>
                <w:szCs w:val="18"/>
              </w:rPr>
              <w:t>提供拟派人员证书复印件及其在本公司工作证明和本公告时间前</w:t>
            </w:r>
            <w:r>
              <w:rPr>
                <w:rFonts w:hint="eastAsia" w:ascii="宋体" w:hAnsi="宋体" w:eastAsia="宋体" w:cs="宋体"/>
                <w:sz w:val="18"/>
                <w:szCs w:val="18"/>
                <w:lang w:val="en-US" w:eastAsia="zh-CN"/>
              </w:rPr>
              <w:t>半年任意一个月缴纳社保的相关证明材料</w:t>
            </w:r>
            <w:r>
              <w:rPr>
                <w:rFonts w:hint="eastAsia" w:ascii="宋体" w:hAnsi="宋体" w:eastAsia="宋体" w:cs="宋体"/>
                <w:color w:val="000000"/>
                <w:sz w:val="18"/>
                <w:szCs w:val="18"/>
                <w:lang w:eastAsia="zh-CN"/>
              </w:rPr>
              <w:t>；代理经验需提供</w:t>
            </w:r>
            <w:r>
              <w:rPr>
                <w:rFonts w:hint="eastAsia" w:ascii="宋体" w:hAnsi="宋体" w:eastAsia="宋体" w:cs="宋体"/>
                <w:sz w:val="18"/>
                <w:szCs w:val="18"/>
                <w:lang w:val="en-US" w:eastAsia="zh-CN"/>
              </w:rPr>
              <w:t>近三年从事医疗卫生领域代理项目名称及对应服务单位汇总清单（加盖公章</w:t>
            </w:r>
            <w:bookmarkStart w:id="0" w:name="_GoBack"/>
            <w:bookmarkEnd w:id="0"/>
            <w:r>
              <w:rPr>
                <w:rFonts w:hint="eastAsia" w:ascii="宋体" w:hAnsi="宋体" w:eastAsia="宋体" w:cs="宋体"/>
                <w:sz w:val="18"/>
                <w:szCs w:val="18"/>
                <w:lang w:val="en-US" w:eastAsia="zh-CN"/>
              </w:rPr>
              <w:t>）。</w:t>
            </w:r>
          </w:p>
        </w:tc>
        <w:tc>
          <w:tcPr>
            <w:tcW w:w="737" w:type="dxa"/>
          </w:tcPr>
          <w:p w14:paraId="066E595C">
            <w:pPr>
              <w:jc w:val="left"/>
              <w:rPr>
                <w:rFonts w:hint="eastAsia" w:ascii="宋体" w:hAnsi="宋体" w:eastAsia="宋体" w:cs="宋体"/>
                <w:sz w:val="18"/>
                <w:szCs w:val="18"/>
              </w:rPr>
            </w:pPr>
          </w:p>
        </w:tc>
      </w:tr>
      <w:tr w14:paraId="0FF93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9" w:hRule="atLeast"/>
        </w:trPr>
        <w:tc>
          <w:tcPr>
            <w:tcW w:w="912" w:type="dxa"/>
            <w:vMerge w:val="continue"/>
          </w:tcPr>
          <w:p w14:paraId="64BD0BD6">
            <w:pPr>
              <w:rPr>
                <w:rFonts w:hint="eastAsia" w:ascii="宋体" w:hAnsi="宋体" w:eastAsia="宋体" w:cs="宋体"/>
                <w:sz w:val="18"/>
                <w:szCs w:val="18"/>
              </w:rPr>
            </w:pPr>
          </w:p>
        </w:tc>
        <w:tc>
          <w:tcPr>
            <w:tcW w:w="2113" w:type="dxa"/>
          </w:tcPr>
          <w:p w14:paraId="5A1C8DA1">
            <w:pPr>
              <w:jc w:val="center"/>
              <w:rPr>
                <w:rFonts w:hint="eastAsia" w:ascii="宋体" w:hAnsi="宋体" w:eastAsia="宋体" w:cs="宋体"/>
                <w:sz w:val="18"/>
                <w:szCs w:val="18"/>
              </w:rPr>
            </w:pPr>
            <w:r>
              <w:rPr>
                <w:rFonts w:hint="eastAsia" w:ascii="宋体" w:hAnsi="宋体" w:eastAsia="宋体" w:cs="宋体"/>
                <w:sz w:val="18"/>
                <w:szCs w:val="18"/>
              </w:rPr>
              <w:t>业绩 (</w:t>
            </w:r>
            <w:r>
              <w:rPr>
                <w:rFonts w:hint="eastAsia" w:ascii="宋体" w:hAnsi="宋体" w:eastAsia="宋体" w:cs="宋体"/>
                <w:sz w:val="18"/>
                <w:szCs w:val="18"/>
                <w:lang w:val="en-US" w:eastAsia="zh-CN"/>
              </w:rPr>
              <w:t>15</w:t>
            </w:r>
            <w:r>
              <w:rPr>
                <w:rFonts w:hint="eastAsia" w:ascii="宋体" w:hAnsi="宋体" w:eastAsia="宋体" w:cs="宋体"/>
                <w:sz w:val="18"/>
                <w:szCs w:val="18"/>
              </w:rPr>
              <w:t>分)</w:t>
            </w:r>
          </w:p>
        </w:tc>
        <w:tc>
          <w:tcPr>
            <w:tcW w:w="6175" w:type="dxa"/>
          </w:tcPr>
          <w:p w14:paraId="69A9AF16">
            <w:pPr>
              <w:jc w:val="left"/>
              <w:rPr>
                <w:rFonts w:hint="eastAsia" w:ascii="宋体" w:hAnsi="宋体" w:eastAsia="宋体" w:cs="宋体"/>
                <w:sz w:val="18"/>
                <w:szCs w:val="18"/>
              </w:rPr>
            </w:pPr>
            <w:r>
              <w:rPr>
                <w:rFonts w:hint="eastAsia" w:ascii="宋体" w:hAnsi="宋体" w:eastAsia="宋体" w:cs="宋体"/>
                <w:sz w:val="18"/>
                <w:szCs w:val="18"/>
                <w:lang w:val="en-US" w:eastAsia="zh-CN"/>
              </w:rPr>
              <w:t>提供</w:t>
            </w:r>
            <w:r>
              <w:rPr>
                <w:rFonts w:hint="eastAsia" w:ascii="宋体" w:hAnsi="宋体" w:eastAsia="宋体" w:cs="宋体"/>
                <w:sz w:val="18"/>
                <w:szCs w:val="18"/>
              </w:rPr>
              <w:t>自20</w:t>
            </w:r>
            <w:r>
              <w:rPr>
                <w:rFonts w:hint="default" w:ascii="宋体" w:hAnsi="宋体" w:eastAsia="宋体" w:cs="宋体"/>
                <w:sz w:val="18"/>
                <w:szCs w:val="18"/>
              </w:rPr>
              <w:t>2</w:t>
            </w:r>
            <w:r>
              <w:rPr>
                <w:rFonts w:hint="eastAsia" w:ascii="宋体" w:hAnsi="宋体" w:eastAsia="宋体" w:cs="宋体"/>
                <w:sz w:val="18"/>
                <w:szCs w:val="18"/>
                <w:lang w:val="en-US" w:eastAsia="zh-CN"/>
              </w:rPr>
              <w:t>4</w:t>
            </w:r>
            <w:r>
              <w:rPr>
                <w:rFonts w:hint="eastAsia" w:ascii="宋体" w:hAnsi="宋体" w:eastAsia="宋体" w:cs="宋体"/>
                <w:sz w:val="18"/>
                <w:szCs w:val="18"/>
              </w:rPr>
              <w:t>年1月1日起至今承接的</w:t>
            </w:r>
            <w:r>
              <w:rPr>
                <w:rFonts w:hint="eastAsia" w:ascii="宋体" w:hAnsi="宋体" w:eastAsia="宋体" w:cs="宋体"/>
                <w:sz w:val="18"/>
                <w:szCs w:val="18"/>
                <w:lang w:val="en-US" w:eastAsia="zh-CN"/>
              </w:rPr>
              <w:t>中山市卫健系统项目</w:t>
            </w:r>
            <w:r>
              <w:rPr>
                <w:rFonts w:hint="eastAsia" w:ascii="宋体" w:hAnsi="宋体" w:eastAsia="宋体" w:cs="宋体"/>
                <w:sz w:val="18"/>
                <w:szCs w:val="18"/>
              </w:rPr>
              <w:t>，每提供1个</w:t>
            </w:r>
            <w:r>
              <w:rPr>
                <w:rFonts w:hint="eastAsia" w:ascii="宋体" w:hAnsi="宋体" w:eastAsia="宋体" w:cs="宋体"/>
                <w:sz w:val="18"/>
                <w:szCs w:val="18"/>
                <w:lang w:val="en-US" w:eastAsia="zh-CN"/>
              </w:rPr>
              <w:t>二级及二级以下医院项目得1分，三级医院项目</w:t>
            </w:r>
            <w:r>
              <w:rPr>
                <w:rFonts w:hint="eastAsia" w:ascii="宋体" w:hAnsi="宋体" w:eastAsia="宋体" w:cs="宋体"/>
                <w:sz w:val="18"/>
                <w:szCs w:val="18"/>
              </w:rPr>
              <w:t>得</w:t>
            </w:r>
            <w:r>
              <w:rPr>
                <w:rFonts w:hint="eastAsia" w:ascii="宋体" w:hAnsi="宋体" w:eastAsia="宋体" w:cs="宋体"/>
                <w:sz w:val="18"/>
                <w:szCs w:val="18"/>
                <w:lang w:val="en-US" w:eastAsia="zh-CN"/>
              </w:rPr>
              <w:t>2</w:t>
            </w:r>
            <w:r>
              <w:rPr>
                <w:rFonts w:hint="eastAsia" w:ascii="宋体" w:hAnsi="宋体" w:eastAsia="宋体" w:cs="宋体"/>
                <w:sz w:val="18"/>
                <w:szCs w:val="18"/>
              </w:rPr>
              <w:t>分，满分得</w:t>
            </w:r>
            <w:r>
              <w:rPr>
                <w:rFonts w:hint="eastAsia" w:ascii="宋体" w:hAnsi="宋体" w:eastAsia="宋体" w:cs="宋体"/>
                <w:sz w:val="18"/>
                <w:szCs w:val="18"/>
                <w:lang w:val="en-US" w:eastAsia="zh-CN"/>
              </w:rPr>
              <w:t>15</w:t>
            </w:r>
            <w:r>
              <w:rPr>
                <w:rFonts w:hint="eastAsia" w:ascii="宋体" w:hAnsi="宋体" w:eastAsia="宋体" w:cs="宋体"/>
                <w:sz w:val="18"/>
                <w:szCs w:val="18"/>
              </w:rPr>
              <w:t>分。</w:t>
            </w:r>
          </w:p>
          <w:p w14:paraId="3BBE58EF">
            <w:pPr>
              <w:jc w:val="left"/>
              <w:rPr>
                <w:rFonts w:hint="eastAsia" w:ascii="宋体" w:hAnsi="宋体" w:eastAsia="宋体" w:cs="宋体"/>
                <w:sz w:val="18"/>
                <w:szCs w:val="18"/>
              </w:rPr>
            </w:pPr>
            <w:r>
              <w:rPr>
                <w:rFonts w:hint="eastAsia" w:ascii="宋体" w:hAnsi="宋体" w:eastAsia="宋体" w:cs="宋体"/>
                <w:sz w:val="18"/>
                <w:szCs w:val="18"/>
              </w:rPr>
              <w:t>备注：业绩时间以合同</w:t>
            </w:r>
            <w:r>
              <w:rPr>
                <w:rFonts w:hint="eastAsia" w:ascii="宋体" w:hAnsi="宋体" w:eastAsia="宋体" w:cs="宋体"/>
                <w:sz w:val="18"/>
                <w:szCs w:val="18"/>
                <w:lang w:eastAsia="zh-CN"/>
              </w:rPr>
              <w:t>或委托协议</w:t>
            </w:r>
            <w:r>
              <w:rPr>
                <w:rFonts w:hint="eastAsia" w:ascii="宋体" w:hAnsi="宋体" w:eastAsia="宋体" w:cs="宋体"/>
                <w:sz w:val="18"/>
                <w:szCs w:val="18"/>
              </w:rPr>
              <w:t>签订时间为准。</w:t>
            </w:r>
          </w:p>
        </w:tc>
        <w:tc>
          <w:tcPr>
            <w:tcW w:w="737" w:type="dxa"/>
          </w:tcPr>
          <w:p w14:paraId="3168C4F1">
            <w:pPr>
              <w:jc w:val="left"/>
              <w:rPr>
                <w:rFonts w:hint="eastAsia" w:ascii="宋体" w:hAnsi="宋体" w:eastAsia="宋体" w:cs="宋体"/>
                <w:sz w:val="18"/>
                <w:szCs w:val="18"/>
              </w:rPr>
            </w:pPr>
          </w:p>
        </w:tc>
      </w:tr>
      <w:tr w14:paraId="6F207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29" w:hRule="atLeast"/>
        </w:trPr>
        <w:tc>
          <w:tcPr>
            <w:tcW w:w="912" w:type="dxa"/>
            <w:vMerge w:val="continue"/>
          </w:tcPr>
          <w:p w14:paraId="1E371D5C">
            <w:pPr>
              <w:rPr>
                <w:rFonts w:hint="eastAsia" w:ascii="宋体" w:hAnsi="宋体" w:eastAsia="宋体" w:cs="宋体"/>
                <w:sz w:val="18"/>
                <w:szCs w:val="18"/>
              </w:rPr>
            </w:pPr>
          </w:p>
        </w:tc>
        <w:tc>
          <w:tcPr>
            <w:tcW w:w="2113" w:type="dxa"/>
          </w:tcPr>
          <w:p w14:paraId="6DE85BCE">
            <w:pPr>
              <w:jc w:val="center"/>
              <w:rPr>
                <w:rFonts w:hint="eastAsia" w:ascii="宋体" w:hAnsi="宋体" w:eastAsia="宋体" w:cs="宋体"/>
                <w:sz w:val="18"/>
                <w:szCs w:val="18"/>
              </w:rPr>
            </w:pPr>
            <w:r>
              <w:rPr>
                <w:rFonts w:hint="eastAsia" w:ascii="宋体" w:hAnsi="宋体" w:eastAsia="宋体" w:cs="宋体"/>
                <w:sz w:val="18"/>
                <w:szCs w:val="18"/>
              </w:rPr>
              <w:t>用户评价 (</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c>
          <w:tcPr>
            <w:tcW w:w="6175" w:type="dxa"/>
          </w:tcPr>
          <w:p w14:paraId="0B2F79A4">
            <w:pPr>
              <w:jc w:val="left"/>
              <w:rPr>
                <w:rFonts w:hint="eastAsia" w:ascii="宋体" w:hAnsi="宋体" w:eastAsia="宋体" w:cs="宋体"/>
                <w:sz w:val="18"/>
                <w:szCs w:val="18"/>
              </w:rPr>
            </w:pPr>
            <w:r>
              <w:rPr>
                <w:rFonts w:hint="eastAsia" w:ascii="宋体" w:hAnsi="宋体" w:eastAsia="宋体" w:cs="宋体"/>
                <w:sz w:val="18"/>
                <w:szCs w:val="18"/>
              </w:rPr>
              <w:t>就上述 “业绩”评审项有效合同中用户单位出具的好评（结果为“好评”或“优秀”或相同含义的评价）进行评审，每提供1份好评得</w:t>
            </w:r>
            <w:r>
              <w:rPr>
                <w:rFonts w:hint="eastAsia" w:ascii="宋体" w:hAnsi="宋体" w:eastAsia="宋体" w:cs="宋体"/>
                <w:sz w:val="18"/>
                <w:szCs w:val="18"/>
                <w:lang w:val="en-US" w:eastAsia="zh-CN"/>
              </w:rPr>
              <w:t>1.5</w:t>
            </w:r>
            <w:r>
              <w:rPr>
                <w:rFonts w:hint="eastAsia" w:ascii="宋体" w:hAnsi="宋体" w:eastAsia="宋体" w:cs="宋体"/>
                <w:sz w:val="18"/>
                <w:szCs w:val="18"/>
              </w:rPr>
              <w:t>分，最高得</w:t>
            </w:r>
            <w:r>
              <w:rPr>
                <w:rFonts w:hint="eastAsia" w:ascii="宋体" w:hAnsi="宋体" w:eastAsia="宋体" w:cs="宋体"/>
                <w:sz w:val="18"/>
                <w:szCs w:val="18"/>
                <w:lang w:val="en-US" w:eastAsia="zh-CN"/>
              </w:rPr>
              <w:t>10</w:t>
            </w:r>
            <w:r>
              <w:rPr>
                <w:rFonts w:hint="eastAsia" w:ascii="宋体" w:hAnsi="宋体" w:eastAsia="宋体" w:cs="宋体"/>
                <w:sz w:val="18"/>
                <w:szCs w:val="18"/>
              </w:rPr>
              <w:t>分。</w:t>
            </w:r>
          </w:p>
        </w:tc>
        <w:tc>
          <w:tcPr>
            <w:tcW w:w="737" w:type="dxa"/>
          </w:tcPr>
          <w:p w14:paraId="07C847E5">
            <w:pPr>
              <w:jc w:val="left"/>
              <w:rPr>
                <w:rFonts w:hint="eastAsia" w:ascii="宋体" w:hAnsi="宋体" w:eastAsia="宋体" w:cs="宋体"/>
                <w:sz w:val="18"/>
                <w:szCs w:val="18"/>
              </w:rPr>
            </w:pPr>
          </w:p>
        </w:tc>
      </w:tr>
      <w:tr w14:paraId="30C84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3" w:hRule="atLeast"/>
        </w:trPr>
        <w:tc>
          <w:tcPr>
            <w:tcW w:w="912" w:type="dxa"/>
          </w:tcPr>
          <w:p w14:paraId="5D055F42">
            <w:pPr>
              <w:jc w:val="center"/>
              <w:rPr>
                <w:rFonts w:hint="eastAsia" w:ascii="宋体" w:hAnsi="宋体" w:eastAsia="宋体" w:cs="宋体"/>
                <w:sz w:val="18"/>
                <w:szCs w:val="18"/>
              </w:rPr>
            </w:pPr>
            <w:r>
              <w:rPr>
                <w:rFonts w:hint="eastAsia" w:ascii="宋体" w:hAnsi="宋体" w:eastAsia="宋体" w:cs="宋体"/>
                <w:sz w:val="18"/>
                <w:szCs w:val="18"/>
              </w:rPr>
              <w:t>报价</w:t>
            </w:r>
          </w:p>
        </w:tc>
        <w:tc>
          <w:tcPr>
            <w:tcW w:w="2113" w:type="dxa"/>
          </w:tcPr>
          <w:p w14:paraId="1291F1C8">
            <w:pPr>
              <w:jc w:val="center"/>
              <w:rPr>
                <w:rFonts w:hint="eastAsia" w:ascii="宋体" w:hAnsi="宋体" w:eastAsia="宋体" w:cs="宋体"/>
                <w:sz w:val="18"/>
                <w:szCs w:val="18"/>
              </w:rPr>
            </w:pPr>
            <w:r>
              <w:rPr>
                <w:rFonts w:hint="eastAsia" w:ascii="宋体" w:hAnsi="宋体" w:eastAsia="宋体" w:cs="宋体"/>
                <w:sz w:val="18"/>
                <w:szCs w:val="18"/>
                <w:lang w:val="en-US" w:eastAsia="zh-CN"/>
              </w:rPr>
              <w:t>代理费报价</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1</w:t>
            </w:r>
            <w:r>
              <w:rPr>
                <w:rFonts w:hint="eastAsia" w:ascii="宋体" w:hAnsi="宋体" w:eastAsia="宋体" w:cs="宋体"/>
                <w:sz w:val="18"/>
                <w:szCs w:val="18"/>
              </w:rPr>
              <w:t>0分)</w:t>
            </w:r>
          </w:p>
        </w:tc>
        <w:tc>
          <w:tcPr>
            <w:tcW w:w="6175" w:type="dxa"/>
          </w:tcPr>
          <w:p w14:paraId="6631B0CF">
            <w:pPr>
              <w:jc w:val="left"/>
              <w:rPr>
                <w:rFonts w:hint="eastAsia" w:ascii="宋体" w:hAnsi="宋体" w:eastAsia="宋体" w:cs="宋体"/>
                <w:sz w:val="18"/>
                <w:szCs w:val="18"/>
                <w:lang w:eastAsia="zh-CN"/>
              </w:rPr>
            </w:pPr>
            <w:r>
              <w:rPr>
                <w:rFonts w:hint="eastAsia" w:ascii="宋体" w:hAnsi="宋体" w:eastAsia="宋体" w:cs="宋体"/>
                <w:sz w:val="18"/>
                <w:szCs w:val="18"/>
              </w:rPr>
              <w:t>报价得分＝（基准价/</w:t>
            </w:r>
            <w:r>
              <w:rPr>
                <w:rFonts w:hint="eastAsia" w:ascii="宋体" w:hAnsi="宋体" w:eastAsia="宋体" w:cs="宋体"/>
                <w:sz w:val="18"/>
                <w:szCs w:val="18"/>
                <w:lang w:val="en-US" w:eastAsia="zh-CN"/>
              </w:rPr>
              <w:t>响应</w:t>
            </w:r>
            <w:r>
              <w:rPr>
                <w:rFonts w:hint="eastAsia" w:ascii="宋体" w:hAnsi="宋体" w:eastAsia="宋体" w:cs="宋体"/>
                <w:sz w:val="18"/>
                <w:szCs w:val="18"/>
              </w:rPr>
              <w:t>报价）×价格分值</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10分</w:t>
            </w:r>
            <w:r>
              <w:rPr>
                <w:rFonts w:hint="eastAsia" w:ascii="宋体" w:hAnsi="宋体" w:eastAsia="宋体" w:cs="宋体"/>
                <w:sz w:val="18"/>
                <w:szCs w:val="18"/>
                <w:lang w:eastAsia="zh-CN"/>
              </w:rPr>
              <w:t>）</w:t>
            </w:r>
          </w:p>
          <w:p w14:paraId="0ED5B1C3">
            <w:pPr>
              <w:jc w:val="left"/>
              <w:rPr>
                <w:rFonts w:hint="eastAsia" w:ascii="宋体" w:hAnsi="宋体" w:eastAsia="宋体" w:cs="宋体"/>
                <w:sz w:val="18"/>
                <w:szCs w:val="18"/>
                <w:lang w:eastAsia="zh-CN"/>
              </w:rPr>
            </w:pPr>
            <w:r>
              <w:rPr>
                <w:rFonts w:hint="eastAsia" w:ascii="宋体" w:hAnsi="宋体" w:eastAsia="宋体" w:cs="宋体"/>
                <w:sz w:val="18"/>
                <w:szCs w:val="18"/>
              </w:rPr>
              <w:t>（注：满足采购文件要求且响应价格最低的响应报价为评审基准价。最低报价不是成交的唯一依据。）</w:t>
            </w:r>
          </w:p>
        </w:tc>
        <w:tc>
          <w:tcPr>
            <w:tcW w:w="737" w:type="dxa"/>
          </w:tcPr>
          <w:p w14:paraId="469A1083">
            <w:pPr>
              <w:jc w:val="left"/>
              <w:rPr>
                <w:rFonts w:hint="eastAsia" w:ascii="宋体" w:hAnsi="宋体" w:eastAsia="宋体" w:cs="宋体"/>
                <w:sz w:val="18"/>
                <w:szCs w:val="18"/>
              </w:rPr>
            </w:pPr>
          </w:p>
        </w:tc>
      </w:tr>
      <w:tr w14:paraId="025C6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3" w:hRule="atLeast"/>
        </w:trPr>
        <w:tc>
          <w:tcPr>
            <w:tcW w:w="912" w:type="dxa"/>
          </w:tcPr>
          <w:p w14:paraId="55634A67">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合计</w:t>
            </w:r>
          </w:p>
        </w:tc>
        <w:tc>
          <w:tcPr>
            <w:tcW w:w="2113" w:type="dxa"/>
          </w:tcPr>
          <w:p w14:paraId="36BFA3FA">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100分</w:t>
            </w:r>
          </w:p>
        </w:tc>
        <w:tc>
          <w:tcPr>
            <w:tcW w:w="6175" w:type="dxa"/>
          </w:tcPr>
          <w:p w14:paraId="487C3D68">
            <w:pPr>
              <w:jc w:val="left"/>
              <w:rPr>
                <w:rFonts w:hint="eastAsia" w:ascii="宋体" w:hAnsi="宋体" w:eastAsia="宋体" w:cs="宋体"/>
                <w:sz w:val="18"/>
                <w:szCs w:val="18"/>
              </w:rPr>
            </w:pPr>
          </w:p>
        </w:tc>
        <w:tc>
          <w:tcPr>
            <w:tcW w:w="737" w:type="dxa"/>
          </w:tcPr>
          <w:p w14:paraId="15D69CF8">
            <w:pPr>
              <w:jc w:val="left"/>
              <w:rPr>
                <w:rFonts w:hint="eastAsia" w:ascii="宋体" w:hAnsi="宋体" w:eastAsia="宋体" w:cs="宋体"/>
                <w:sz w:val="18"/>
                <w:szCs w:val="18"/>
              </w:rPr>
            </w:pPr>
          </w:p>
        </w:tc>
      </w:tr>
    </w:tbl>
    <w:p w14:paraId="6E63A493">
      <w:pPr>
        <w:spacing w:before="156" w:beforeLines="50" w:line="360" w:lineRule="auto"/>
        <w:ind w:firstLine="422" w:firstLineChars="200"/>
        <w:rPr>
          <w:rFonts w:hint="eastAsia" w:ascii="宋体" w:hAnsi="宋体"/>
          <w:b/>
          <w:bCs/>
          <w:szCs w:val="21"/>
          <w:highlight w:val="none"/>
          <w:lang w:val="en-US" w:eastAsia="zh-CN"/>
        </w:rPr>
      </w:pPr>
    </w:p>
    <w:p w14:paraId="7CBC7614">
      <w:pPr>
        <w:spacing w:before="156" w:beforeLines="50" w:line="360" w:lineRule="auto"/>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说明：</w:t>
      </w:r>
    </w:p>
    <w:p w14:paraId="2AAEC7D0">
      <w:pPr>
        <w:spacing w:before="156" w:beforeLines="50" w:line="360" w:lineRule="auto"/>
        <w:ind w:firstLine="422" w:firstLineChars="200"/>
        <w:rPr>
          <w:rFonts w:hint="eastAsia" w:ascii="宋体" w:hAnsi="宋体" w:eastAsia="宋体"/>
          <w:szCs w:val="21"/>
          <w:highlight w:val="none"/>
          <w:lang w:eastAsia="zh-CN"/>
        </w:rPr>
      </w:pPr>
      <w:r>
        <w:rPr>
          <w:rFonts w:hint="eastAsia" w:ascii="宋体" w:hAnsi="宋体"/>
          <w:b/>
          <w:bCs/>
          <w:szCs w:val="21"/>
          <w:highlight w:val="none"/>
          <w:lang w:val="en-US" w:eastAsia="zh-CN"/>
        </w:rPr>
        <w:t>1</w:t>
      </w:r>
      <w:r>
        <w:rPr>
          <w:rFonts w:hint="eastAsia" w:ascii="宋体" w:hAnsi="宋体"/>
          <w:b/>
          <w:bCs/>
          <w:szCs w:val="21"/>
          <w:highlight w:val="none"/>
        </w:rPr>
        <w:t>、评</w:t>
      </w:r>
      <w:r>
        <w:rPr>
          <w:rFonts w:hint="eastAsia" w:ascii="宋体" w:hAnsi="宋体"/>
          <w:b/>
          <w:bCs/>
          <w:szCs w:val="21"/>
          <w:highlight w:val="none"/>
          <w:lang w:eastAsia="zh-CN"/>
        </w:rPr>
        <w:t>审</w:t>
      </w:r>
      <w:r>
        <w:rPr>
          <w:rFonts w:hint="eastAsia" w:ascii="宋体" w:hAnsi="宋体"/>
          <w:b/>
          <w:bCs/>
          <w:szCs w:val="21"/>
          <w:highlight w:val="none"/>
        </w:rPr>
        <w:t>步骤</w:t>
      </w:r>
      <w:r>
        <w:rPr>
          <w:rFonts w:hint="eastAsia" w:ascii="宋体" w:hAnsi="宋体"/>
          <w:b/>
          <w:bCs/>
          <w:szCs w:val="21"/>
          <w:highlight w:val="none"/>
          <w:lang w:eastAsia="zh-CN"/>
        </w:rPr>
        <w:t>：</w:t>
      </w:r>
      <w:r>
        <w:rPr>
          <w:rFonts w:hint="eastAsia" w:ascii="宋体" w:hAnsi="宋体"/>
          <w:szCs w:val="21"/>
          <w:highlight w:val="none"/>
          <w:lang w:eastAsia="zh-CN"/>
        </w:rPr>
        <w:t>评审小组</w:t>
      </w:r>
      <w:r>
        <w:rPr>
          <w:rFonts w:hint="eastAsia" w:ascii="宋体" w:hAnsi="宋体"/>
          <w:szCs w:val="21"/>
          <w:highlight w:val="none"/>
        </w:rPr>
        <w:t>对</w:t>
      </w:r>
      <w:r>
        <w:rPr>
          <w:rFonts w:hint="eastAsia" w:ascii="宋体" w:hAnsi="宋体"/>
          <w:szCs w:val="21"/>
          <w:highlight w:val="none"/>
          <w:lang w:eastAsia="zh-CN"/>
        </w:rPr>
        <w:t>报名文件</w:t>
      </w:r>
      <w:r>
        <w:rPr>
          <w:rFonts w:hint="eastAsia" w:ascii="宋体" w:hAnsi="宋体"/>
          <w:szCs w:val="21"/>
          <w:highlight w:val="none"/>
        </w:rPr>
        <w:t>的评审分为初审（</w:t>
      </w:r>
      <w:r>
        <w:rPr>
          <w:rFonts w:hint="eastAsia" w:ascii="宋体" w:hAnsi="宋体"/>
          <w:szCs w:val="21"/>
          <w:highlight w:val="none"/>
          <w:lang w:eastAsia="zh-CN"/>
        </w:rPr>
        <w:t>资格性</w:t>
      </w:r>
      <w:r>
        <w:rPr>
          <w:rFonts w:hint="eastAsia" w:ascii="宋体" w:hAnsi="宋体"/>
          <w:szCs w:val="21"/>
          <w:highlight w:val="none"/>
        </w:rPr>
        <w:t>符合性审查）</w:t>
      </w:r>
      <w:r>
        <w:rPr>
          <w:rFonts w:hint="eastAsia" w:ascii="宋体" w:hAnsi="宋体"/>
          <w:szCs w:val="21"/>
          <w:highlight w:val="none"/>
          <w:lang w:eastAsia="zh-CN"/>
        </w:rPr>
        <w:t>和</w:t>
      </w:r>
      <w:r>
        <w:rPr>
          <w:rFonts w:hint="eastAsia" w:ascii="宋体" w:hAnsi="宋体"/>
          <w:szCs w:val="21"/>
          <w:highlight w:val="none"/>
        </w:rPr>
        <w:t>详细评审</w:t>
      </w:r>
      <w:r>
        <w:rPr>
          <w:rFonts w:hint="eastAsia" w:ascii="宋体" w:hAnsi="宋体"/>
          <w:szCs w:val="21"/>
          <w:highlight w:val="none"/>
          <w:lang w:eastAsia="zh-CN"/>
        </w:rPr>
        <w:t>，初审通过才进入详细评审环节。</w:t>
      </w:r>
    </w:p>
    <w:p w14:paraId="32A8827A">
      <w:pPr>
        <w:numPr>
          <w:ilvl w:val="0"/>
          <w:numId w:val="0"/>
        </w:numPr>
        <w:spacing w:line="360" w:lineRule="auto"/>
        <w:ind w:firstLine="420" w:firstLineChars="200"/>
        <w:rPr>
          <w:rFonts w:ascii="宋体" w:hAnsi="宋体" w:cs="宋体"/>
          <w:szCs w:val="21"/>
        </w:rPr>
      </w:pPr>
      <w:r>
        <w:rPr>
          <w:rFonts w:hint="eastAsia" w:ascii="宋体" w:hAnsi="宋体" w:cs="宋体"/>
          <w:szCs w:val="21"/>
          <w:lang w:val="en-US" w:eastAsia="zh-CN"/>
        </w:rPr>
        <w:t>2、详细</w:t>
      </w:r>
      <w:r>
        <w:rPr>
          <w:rFonts w:hint="eastAsia" w:ascii="宋体" w:hAnsi="宋体" w:cs="宋体"/>
          <w:szCs w:val="21"/>
        </w:rPr>
        <w:t>评审时，</w:t>
      </w:r>
      <w:r>
        <w:rPr>
          <w:rFonts w:hint="eastAsia" w:ascii="宋体" w:hAnsi="宋体" w:cs="宋体"/>
          <w:szCs w:val="21"/>
          <w:lang w:val="en-US" w:eastAsia="zh-CN"/>
        </w:rPr>
        <w:t>根据评分表的内容，</w:t>
      </w:r>
      <w:r>
        <w:rPr>
          <w:rFonts w:hint="eastAsia" w:ascii="宋体" w:hAnsi="宋体" w:cs="宋体"/>
          <w:szCs w:val="21"/>
        </w:rPr>
        <w:t>评审小组各成员应当独立对每个有效响应的文件进行评价、打分，</w:t>
      </w:r>
      <w:r>
        <w:rPr>
          <w:rFonts w:hint="eastAsia" w:ascii="宋体" w:hAnsi="宋体" w:eastAsia="宋体" w:cs="宋体"/>
          <w:szCs w:val="21"/>
        </w:rPr>
        <w:t>从商务技术和价格方面进行综合评审</w:t>
      </w:r>
      <w:r>
        <w:rPr>
          <w:rFonts w:hint="eastAsia" w:ascii="宋体" w:hAnsi="宋体" w:eastAsia="宋体" w:cs="宋体"/>
          <w:szCs w:val="21"/>
          <w:lang w:eastAsia="zh-CN"/>
        </w:rPr>
        <w:t>。</w:t>
      </w:r>
      <w:r>
        <w:rPr>
          <w:rFonts w:hint="eastAsia" w:ascii="宋体" w:hAnsi="宋体" w:cs="宋体"/>
          <w:szCs w:val="21"/>
        </w:rPr>
        <w:t>各成员评分的算术平均值即为该</w:t>
      </w:r>
      <w:r>
        <w:rPr>
          <w:rFonts w:hint="eastAsia" w:ascii="宋体" w:hAnsi="宋体" w:cs="宋体"/>
          <w:szCs w:val="21"/>
          <w:lang w:eastAsia="zh-CN"/>
        </w:rPr>
        <w:t>代理机构</w:t>
      </w:r>
      <w:r>
        <w:rPr>
          <w:rFonts w:hint="eastAsia" w:ascii="宋体" w:hAnsi="宋体" w:cs="宋体"/>
          <w:szCs w:val="21"/>
        </w:rPr>
        <w:t>的商务</w:t>
      </w:r>
      <w:r>
        <w:rPr>
          <w:rFonts w:hint="eastAsia" w:ascii="宋体" w:hAnsi="宋体" w:cs="宋体"/>
          <w:szCs w:val="21"/>
          <w:lang w:eastAsia="zh-CN"/>
        </w:rPr>
        <w:t>技术</w:t>
      </w:r>
      <w:r>
        <w:rPr>
          <w:rFonts w:hint="eastAsia" w:ascii="宋体" w:hAnsi="宋体" w:cs="宋体"/>
          <w:szCs w:val="21"/>
        </w:rPr>
        <w:t>得分。得分按四舍五入规则，精确到小数点后2位。</w:t>
      </w:r>
    </w:p>
    <w:p w14:paraId="4BCDAA56">
      <w:pPr>
        <w:spacing w:line="360" w:lineRule="auto"/>
        <w:ind w:firstLine="422" w:firstLineChars="200"/>
        <w:rPr>
          <w:rFonts w:ascii="宋体" w:hAnsi="宋体" w:cs="宋体"/>
          <w:color w:val="000000"/>
          <w:sz w:val="24"/>
        </w:rPr>
      </w:pPr>
      <w:r>
        <w:rPr>
          <w:rFonts w:hint="eastAsia" w:ascii="宋体" w:hAnsi="宋体" w:cs="宋体"/>
          <w:b/>
          <w:bCs/>
          <w:color w:val="000000"/>
          <w:szCs w:val="21"/>
          <w:lang w:val="en-US" w:eastAsia="zh-CN"/>
        </w:rPr>
        <w:t>3、</w:t>
      </w:r>
      <w:r>
        <w:rPr>
          <w:rFonts w:hint="eastAsia" w:ascii="宋体" w:hAnsi="宋体" w:cs="宋体"/>
          <w:b/>
          <w:bCs/>
          <w:color w:val="000000"/>
          <w:szCs w:val="21"/>
        </w:rPr>
        <w:t>评审总得分＝商务</w:t>
      </w:r>
      <w:r>
        <w:rPr>
          <w:rFonts w:hint="eastAsia" w:ascii="宋体" w:hAnsi="宋体" w:cs="宋体"/>
          <w:b/>
          <w:bCs/>
          <w:color w:val="000000"/>
          <w:szCs w:val="21"/>
          <w:lang w:eastAsia="zh-CN"/>
        </w:rPr>
        <w:t>技术</w:t>
      </w:r>
      <w:r>
        <w:rPr>
          <w:rFonts w:hint="eastAsia" w:ascii="宋体" w:hAnsi="宋体" w:cs="宋体"/>
          <w:b/>
          <w:bCs/>
          <w:color w:val="000000"/>
          <w:szCs w:val="21"/>
        </w:rPr>
        <w:t>得分+响应报价得分</w:t>
      </w:r>
      <w:r>
        <w:rPr>
          <w:rFonts w:hint="eastAsia" w:ascii="宋体" w:hAnsi="宋体" w:cs="宋体"/>
          <w:b/>
          <w:bCs/>
          <w:color w:val="000000"/>
          <w:sz w:val="24"/>
        </w:rPr>
        <w:t>　</w:t>
      </w:r>
      <w:r>
        <w:rPr>
          <w:rFonts w:hint="eastAsia" w:ascii="宋体" w:hAnsi="宋体" w:cs="宋体"/>
          <w:color w:val="000000"/>
          <w:sz w:val="24"/>
        </w:rPr>
        <w:t>　</w:t>
      </w:r>
    </w:p>
    <w:p w14:paraId="788576E0">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4、评审小组</w:t>
      </w:r>
      <w:r>
        <w:rPr>
          <w:rFonts w:hint="eastAsia" w:ascii="宋体" w:hAnsi="宋体" w:eastAsia="宋体" w:cs="宋体"/>
          <w:szCs w:val="21"/>
        </w:rPr>
        <w:t>按评审得分由高到低进行排序，排名</w:t>
      </w:r>
      <w:r>
        <w:rPr>
          <w:rFonts w:hint="eastAsia" w:ascii="宋体" w:hAnsi="宋体" w:eastAsia="宋体" w:cs="宋体"/>
          <w:szCs w:val="21"/>
          <w:lang w:eastAsia="zh-CN"/>
        </w:rPr>
        <w:t>前</w:t>
      </w:r>
      <w:r>
        <w:rPr>
          <w:rFonts w:hint="eastAsia" w:ascii="宋体" w:hAnsi="宋体" w:eastAsia="宋体" w:cs="宋体"/>
          <w:szCs w:val="21"/>
          <w:lang w:val="en-US" w:eastAsia="zh-CN"/>
        </w:rPr>
        <w:t>8名的</w:t>
      </w:r>
      <w:r>
        <w:rPr>
          <w:rFonts w:hint="eastAsia" w:ascii="宋体" w:hAnsi="宋体" w:eastAsia="宋体" w:cs="宋体"/>
          <w:szCs w:val="21"/>
        </w:rPr>
        <w:t>推荐为</w:t>
      </w:r>
      <w:r>
        <w:rPr>
          <w:rFonts w:hint="eastAsia" w:ascii="宋体" w:hAnsi="宋体" w:eastAsia="宋体" w:cs="宋体"/>
          <w:szCs w:val="21"/>
          <w:lang w:eastAsia="zh-CN"/>
        </w:rPr>
        <w:t>候选代理机构，</w:t>
      </w:r>
      <w:r>
        <w:rPr>
          <w:rFonts w:hint="eastAsia" w:ascii="宋体" w:hAnsi="宋体" w:eastAsia="宋体" w:cs="宋体"/>
          <w:szCs w:val="21"/>
        </w:rPr>
        <w:t>排名第</w:t>
      </w:r>
      <w:r>
        <w:rPr>
          <w:rFonts w:hint="eastAsia" w:ascii="宋体" w:hAnsi="宋体" w:eastAsia="宋体" w:cs="宋体"/>
          <w:szCs w:val="21"/>
          <w:lang w:val="en-US" w:eastAsia="zh-CN"/>
        </w:rPr>
        <w:t>9</w:t>
      </w:r>
      <w:r>
        <w:rPr>
          <w:rFonts w:hint="eastAsia" w:ascii="宋体" w:hAnsi="宋体" w:eastAsia="宋体" w:cs="宋体"/>
          <w:szCs w:val="21"/>
        </w:rPr>
        <w:t>的</w:t>
      </w:r>
      <w:r>
        <w:rPr>
          <w:rFonts w:hint="eastAsia" w:ascii="宋体" w:hAnsi="宋体" w:eastAsia="宋体" w:cs="宋体"/>
          <w:szCs w:val="21"/>
          <w:lang w:eastAsia="zh-CN"/>
        </w:rPr>
        <w:t>代理机构</w:t>
      </w:r>
      <w:r>
        <w:rPr>
          <w:rFonts w:hint="eastAsia" w:ascii="宋体" w:hAnsi="宋体" w:eastAsia="宋体" w:cs="宋体"/>
          <w:szCs w:val="21"/>
        </w:rPr>
        <w:t>为第二成交候选人，排名第</w:t>
      </w:r>
      <w:r>
        <w:rPr>
          <w:rFonts w:hint="eastAsia" w:ascii="宋体" w:hAnsi="宋体" w:eastAsia="宋体" w:cs="宋体"/>
          <w:szCs w:val="21"/>
          <w:lang w:val="en-US" w:eastAsia="zh-CN"/>
        </w:rPr>
        <w:t>10</w:t>
      </w:r>
      <w:r>
        <w:rPr>
          <w:rFonts w:hint="eastAsia" w:ascii="宋体" w:hAnsi="宋体" w:eastAsia="宋体" w:cs="宋体"/>
          <w:szCs w:val="21"/>
        </w:rPr>
        <w:t>的</w:t>
      </w:r>
      <w:r>
        <w:rPr>
          <w:rFonts w:hint="eastAsia" w:ascii="宋体" w:hAnsi="宋体" w:eastAsia="宋体" w:cs="宋体"/>
          <w:szCs w:val="21"/>
          <w:lang w:eastAsia="zh-CN"/>
        </w:rPr>
        <w:t>代理机构</w:t>
      </w:r>
      <w:r>
        <w:rPr>
          <w:rFonts w:hint="eastAsia" w:ascii="宋体" w:hAnsi="宋体" w:eastAsia="宋体" w:cs="宋体"/>
          <w:szCs w:val="21"/>
        </w:rPr>
        <w:t>为第三成交候选人</w:t>
      </w:r>
      <w:r>
        <w:rPr>
          <w:rFonts w:hint="eastAsia" w:ascii="宋体" w:hAnsi="宋体" w:eastAsia="宋体" w:cs="宋体"/>
          <w:szCs w:val="21"/>
          <w:lang w:val="en-US" w:eastAsia="zh-CN"/>
        </w:rPr>
        <w:t>,依此类推</w:t>
      </w:r>
      <w:r>
        <w:rPr>
          <w:rFonts w:hint="eastAsia" w:ascii="宋体" w:hAnsi="宋体" w:eastAsia="宋体" w:cs="宋体"/>
          <w:szCs w:val="21"/>
        </w:rPr>
        <w:t>。出现综合总得分并列时，按</w:t>
      </w:r>
      <w:r>
        <w:rPr>
          <w:rFonts w:hint="eastAsia" w:ascii="宋体" w:hAnsi="宋体" w:eastAsia="宋体" w:cs="宋体"/>
          <w:szCs w:val="21"/>
          <w:lang w:eastAsia="zh-CN"/>
        </w:rPr>
        <w:t>商务</w:t>
      </w:r>
      <w:r>
        <w:rPr>
          <w:rFonts w:hint="eastAsia" w:ascii="宋体" w:hAnsi="宋体" w:eastAsia="宋体" w:cs="宋体"/>
          <w:szCs w:val="21"/>
        </w:rPr>
        <w:t>技术得分高的的</w:t>
      </w:r>
      <w:r>
        <w:rPr>
          <w:rFonts w:hint="eastAsia" w:ascii="宋体" w:hAnsi="宋体" w:eastAsia="宋体" w:cs="宋体"/>
          <w:szCs w:val="21"/>
          <w:lang w:eastAsia="zh-CN"/>
        </w:rPr>
        <w:t>代理机构</w:t>
      </w:r>
      <w:r>
        <w:rPr>
          <w:rFonts w:hint="eastAsia" w:ascii="宋体" w:hAnsi="宋体" w:eastAsia="宋体" w:cs="宋体"/>
          <w:szCs w:val="21"/>
        </w:rPr>
        <w:t>名次靠前；若综合得分和</w:t>
      </w:r>
      <w:r>
        <w:rPr>
          <w:rFonts w:hint="eastAsia" w:ascii="宋体" w:hAnsi="宋体" w:eastAsia="宋体" w:cs="宋体"/>
          <w:szCs w:val="21"/>
          <w:lang w:eastAsia="zh-CN"/>
        </w:rPr>
        <w:t>商务技术得分</w:t>
      </w:r>
      <w:r>
        <w:rPr>
          <w:rFonts w:hint="eastAsia" w:ascii="宋体" w:hAnsi="宋体" w:eastAsia="宋体" w:cs="宋体"/>
          <w:szCs w:val="21"/>
        </w:rPr>
        <w:t>都相同，按</w:t>
      </w:r>
      <w:r>
        <w:rPr>
          <w:rFonts w:hint="eastAsia" w:ascii="宋体" w:hAnsi="宋体" w:eastAsia="宋体" w:cs="宋体"/>
          <w:szCs w:val="21"/>
          <w:lang w:eastAsia="zh-CN"/>
        </w:rPr>
        <w:t>报价得分高</w:t>
      </w:r>
      <w:r>
        <w:rPr>
          <w:rFonts w:hint="eastAsia" w:ascii="宋体" w:hAnsi="宋体" w:eastAsia="宋体" w:cs="宋体"/>
          <w:szCs w:val="21"/>
        </w:rPr>
        <w:t>的</w:t>
      </w:r>
      <w:r>
        <w:rPr>
          <w:rFonts w:hint="eastAsia" w:ascii="宋体" w:hAnsi="宋体" w:eastAsia="宋体" w:cs="宋体"/>
          <w:szCs w:val="21"/>
          <w:lang w:eastAsia="zh-CN"/>
        </w:rPr>
        <w:t>代理机构</w:t>
      </w:r>
      <w:r>
        <w:rPr>
          <w:rFonts w:hint="eastAsia" w:ascii="宋体" w:hAnsi="宋体" w:eastAsia="宋体" w:cs="宋体"/>
          <w:szCs w:val="21"/>
        </w:rPr>
        <w:t>名次靠前；若综合得分、</w:t>
      </w:r>
      <w:r>
        <w:rPr>
          <w:rFonts w:hint="eastAsia" w:ascii="宋体" w:hAnsi="宋体" w:eastAsia="宋体" w:cs="宋体"/>
          <w:szCs w:val="21"/>
          <w:lang w:eastAsia="zh-CN"/>
        </w:rPr>
        <w:t>商务</w:t>
      </w:r>
      <w:r>
        <w:rPr>
          <w:rFonts w:hint="eastAsia" w:ascii="宋体" w:hAnsi="宋体" w:eastAsia="宋体" w:cs="宋体"/>
          <w:szCs w:val="21"/>
        </w:rPr>
        <w:t>技术得分</w:t>
      </w:r>
      <w:r>
        <w:rPr>
          <w:rFonts w:hint="eastAsia" w:ascii="宋体" w:hAnsi="宋体" w:eastAsia="宋体" w:cs="宋体"/>
          <w:szCs w:val="21"/>
          <w:lang w:eastAsia="zh-CN"/>
        </w:rPr>
        <w:t>、报价得分</w:t>
      </w:r>
      <w:r>
        <w:rPr>
          <w:rFonts w:hint="eastAsia" w:ascii="宋体" w:hAnsi="宋体" w:eastAsia="宋体" w:cs="宋体"/>
          <w:szCs w:val="21"/>
        </w:rPr>
        <w:t>都相同</w:t>
      </w:r>
      <w:r>
        <w:rPr>
          <w:rFonts w:hint="eastAsia" w:ascii="宋体" w:hAnsi="宋体" w:eastAsia="宋体" w:cs="宋体"/>
          <w:szCs w:val="21"/>
          <w:lang w:eastAsia="zh-CN"/>
        </w:rPr>
        <w:t>，</w:t>
      </w:r>
      <w:r>
        <w:rPr>
          <w:rFonts w:hint="eastAsia" w:ascii="宋体" w:hAnsi="宋体" w:eastAsia="宋体" w:cs="宋体"/>
          <w:szCs w:val="21"/>
        </w:rPr>
        <w:t>由全体评委投票确定名次。</w:t>
      </w:r>
    </w:p>
    <w:p w14:paraId="31FDBCDE">
      <w:pPr>
        <w:spacing w:line="360" w:lineRule="auto"/>
        <w:ind w:firstLine="422" w:firstLineChars="200"/>
        <w:rPr>
          <w:rFonts w:hint="eastAsia" w:ascii="宋体" w:hAnsi="宋体" w:eastAsia="宋体" w:cs="宋体"/>
          <w:b/>
          <w:bCs/>
          <w:szCs w:val="21"/>
          <w:lang w:val="en-US" w:eastAsia="zh-CN"/>
        </w:rPr>
      </w:pPr>
      <w:r>
        <w:rPr>
          <w:rFonts w:hint="eastAsia" w:ascii="宋体" w:hAnsi="宋体" w:eastAsia="宋体" w:cs="宋体"/>
          <w:b/>
          <w:bCs/>
          <w:szCs w:val="21"/>
          <w:lang w:val="en-US" w:eastAsia="zh-CN"/>
        </w:rPr>
        <w:t>5、报名文件的澄清</w:t>
      </w:r>
    </w:p>
    <w:p w14:paraId="08E1BF02">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评审期间，对报名文件中含义不明确、同类问题表述不一致或者有明显文字和计算错误的内容，评标小组可以书面形式（应当由评标小组专家签字）要求代理机构作出必要的澄清、说明或者纠正，但不得允许代理机构对响应报价等实质性内容做任何更改。代理机构的澄清、说明或者纠正应当采用书面形式，由其授权的代表签字，并不得超出报名文件的范围或者改变报名文件的实质性内容。有关澄清的答复均应由代理机构的法定代表人或授权代表签名的书面形式作出。代理机构的澄清文件是其报名文件的组成部分。</w:t>
      </w:r>
    </w:p>
    <w:p w14:paraId="30B115EE">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6、中选代理机构未向采购人来书面函退出或违反采购文件规定的，则采购人视为该中选代理机构放弃中选资格。采购人可以按照评审报告的成交候选人名单顺序，确定下一候选人为中选代理机构，也可以重新开展采购活动。</w:t>
      </w:r>
    </w:p>
    <w:p w14:paraId="2798B11F">
      <w:pPr>
        <w:rPr>
          <w:rFonts w:hint="default"/>
          <w:u w:val="single"/>
          <w:lang w:val="en-US" w:eastAsia="zh-CN"/>
        </w:rPr>
      </w:pPr>
    </w:p>
    <w:sectPr>
      <w:pgSz w:w="11906" w:h="16838"/>
      <w:pgMar w:top="986" w:right="1800" w:bottom="53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E84814"/>
    <w:rsid w:val="01101675"/>
    <w:rsid w:val="015679D0"/>
    <w:rsid w:val="01B97F5E"/>
    <w:rsid w:val="021F4265"/>
    <w:rsid w:val="031418F0"/>
    <w:rsid w:val="04F01DE7"/>
    <w:rsid w:val="05BA434C"/>
    <w:rsid w:val="05FE23E4"/>
    <w:rsid w:val="062005AC"/>
    <w:rsid w:val="06764670"/>
    <w:rsid w:val="06DF1DD2"/>
    <w:rsid w:val="07727CB0"/>
    <w:rsid w:val="0808579C"/>
    <w:rsid w:val="090C01F4"/>
    <w:rsid w:val="09BC683E"/>
    <w:rsid w:val="09FC30DE"/>
    <w:rsid w:val="0A582B14"/>
    <w:rsid w:val="0A8F5D00"/>
    <w:rsid w:val="0D3F3A0E"/>
    <w:rsid w:val="0D87323C"/>
    <w:rsid w:val="0F2A424A"/>
    <w:rsid w:val="10C929C5"/>
    <w:rsid w:val="1182211B"/>
    <w:rsid w:val="128C65E7"/>
    <w:rsid w:val="13BB4D54"/>
    <w:rsid w:val="13FA41EA"/>
    <w:rsid w:val="143C0CA7"/>
    <w:rsid w:val="14E135FC"/>
    <w:rsid w:val="15F35395"/>
    <w:rsid w:val="161517B0"/>
    <w:rsid w:val="16F45869"/>
    <w:rsid w:val="17C92852"/>
    <w:rsid w:val="18770500"/>
    <w:rsid w:val="19393A07"/>
    <w:rsid w:val="195355B3"/>
    <w:rsid w:val="197131A1"/>
    <w:rsid w:val="19A35324"/>
    <w:rsid w:val="1A1B135F"/>
    <w:rsid w:val="1A4563DB"/>
    <w:rsid w:val="1B154000"/>
    <w:rsid w:val="1B3426D8"/>
    <w:rsid w:val="1B8D003A"/>
    <w:rsid w:val="1C0205FD"/>
    <w:rsid w:val="1C1D13BE"/>
    <w:rsid w:val="1C3730A1"/>
    <w:rsid w:val="1D293D92"/>
    <w:rsid w:val="1DA5166B"/>
    <w:rsid w:val="1EE47F71"/>
    <w:rsid w:val="1FB02549"/>
    <w:rsid w:val="20BB2F53"/>
    <w:rsid w:val="213A031C"/>
    <w:rsid w:val="22AF6AE8"/>
    <w:rsid w:val="22C97BAA"/>
    <w:rsid w:val="22E542B8"/>
    <w:rsid w:val="23A7525C"/>
    <w:rsid w:val="24EF0E19"/>
    <w:rsid w:val="269229A8"/>
    <w:rsid w:val="26A10E3D"/>
    <w:rsid w:val="28AD3ACA"/>
    <w:rsid w:val="293E0BC6"/>
    <w:rsid w:val="294066EC"/>
    <w:rsid w:val="2A0C2A72"/>
    <w:rsid w:val="2C862667"/>
    <w:rsid w:val="2CCB6C14"/>
    <w:rsid w:val="2DD378BF"/>
    <w:rsid w:val="2E5B7B24"/>
    <w:rsid w:val="2E821554"/>
    <w:rsid w:val="2F723377"/>
    <w:rsid w:val="2FB120F1"/>
    <w:rsid w:val="30A05CC2"/>
    <w:rsid w:val="30B17ECF"/>
    <w:rsid w:val="30DC319E"/>
    <w:rsid w:val="312406A1"/>
    <w:rsid w:val="3183186B"/>
    <w:rsid w:val="31836236"/>
    <w:rsid w:val="31A55C86"/>
    <w:rsid w:val="31C37EBA"/>
    <w:rsid w:val="32A001FB"/>
    <w:rsid w:val="33556074"/>
    <w:rsid w:val="33684FFD"/>
    <w:rsid w:val="33977850"/>
    <w:rsid w:val="34126ED7"/>
    <w:rsid w:val="34E70363"/>
    <w:rsid w:val="36E84AF1"/>
    <w:rsid w:val="36F76B74"/>
    <w:rsid w:val="3A3A424A"/>
    <w:rsid w:val="3AAA60BB"/>
    <w:rsid w:val="3B4A33FA"/>
    <w:rsid w:val="3C9C7C85"/>
    <w:rsid w:val="3CAC611A"/>
    <w:rsid w:val="3CEF6007"/>
    <w:rsid w:val="3E247F32"/>
    <w:rsid w:val="3E5933CF"/>
    <w:rsid w:val="3FD17C46"/>
    <w:rsid w:val="40DE3510"/>
    <w:rsid w:val="428D254A"/>
    <w:rsid w:val="44A8366B"/>
    <w:rsid w:val="44D77AAC"/>
    <w:rsid w:val="45EE1552"/>
    <w:rsid w:val="462C1916"/>
    <w:rsid w:val="46333408"/>
    <w:rsid w:val="46963997"/>
    <w:rsid w:val="483E7E42"/>
    <w:rsid w:val="48627FD5"/>
    <w:rsid w:val="496A2670"/>
    <w:rsid w:val="49B06B1E"/>
    <w:rsid w:val="49F25388"/>
    <w:rsid w:val="4AC24D5B"/>
    <w:rsid w:val="4D3D2DBF"/>
    <w:rsid w:val="4D783DF7"/>
    <w:rsid w:val="4E4A5793"/>
    <w:rsid w:val="4F2935FA"/>
    <w:rsid w:val="4F9369E0"/>
    <w:rsid w:val="502875AD"/>
    <w:rsid w:val="50C555A5"/>
    <w:rsid w:val="516A3A56"/>
    <w:rsid w:val="52232583"/>
    <w:rsid w:val="52481FEA"/>
    <w:rsid w:val="52BE22AC"/>
    <w:rsid w:val="55E02539"/>
    <w:rsid w:val="57802226"/>
    <w:rsid w:val="58112E7E"/>
    <w:rsid w:val="58C61EBA"/>
    <w:rsid w:val="58FE78A6"/>
    <w:rsid w:val="59154BEF"/>
    <w:rsid w:val="59C363DC"/>
    <w:rsid w:val="59D03840"/>
    <w:rsid w:val="59D614CD"/>
    <w:rsid w:val="5A2459EC"/>
    <w:rsid w:val="5A551748"/>
    <w:rsid w:val="5C4E53F4"/>
    <w:rsid w:val="5D3D64C3"/>
    <w:rsid w:val="5D4F5F4A"/>
    <w:rsid w:val="5D72616D"/>
    <w:rsid w:val="5D810AA5"/>
    <w:rsid w:val="5E1610FB"/>
    <w:rsid w:val="5E47584B"/>
    <w:rsid w:val="5EB804F7"/>
    <w:rsid w:val="60824919"/>
    <w:rsid w:val="60F577E0"/>
    <w:rsid w:val="618D5C6B"/>
    <w:rsid w:val="61DE64C6"/>
    <w:rsid w:val="62143C96"/>
    <w:rsid w:val="6220088D"/>
    <w:rsid w:val="622F4EDB"/>
    <w:rsid w:val="62397BA1"/>
    <w:rsid w:val="625E04D8"/>
    <w:rsid w:val="627961EF"/>
    <w:rsid w:val="62AC2121"/>
    <w:rsid w:val="63F64B46"/>
    <w:rsid w:val="64371EBE"/>
    <w:rsid w:val="64AF7CA6"/>
    <w:rsid w:val="65300AD2"/>
    <w:rsid w:val="655F791E"/>
    <w:rsid w:val="656942F9"/>
    <w:rsid w:val="66187ACD"/>
    <w:rsid w:val="6660394E"/>
    <w:rsid w:val="66D165FA"/>
    <w:rsid w:val="67F02AB0"/>
    <w:rsid w:val="684352D5"/>
    <w:rsid w:val="69D16911"/>
    <w:rsid w:val="6A9F07BD"/>
    <w:rsid w:val="6AE10DD5"/>
    <w:rsid w:val="6BEC358E"/>
    <w:rsid w:val="6C194906"/>
    <w:rsid w:val="6C1C0317"/>
    <w:rsid w:val="6C3513D9"/>
    <w:rsid w:val="6C375151"/>
    <w:rsid w:val="6C537AB1"/>
    <w:rsid w:val="6D203E37"/>
    <w:rsid w:val="6D396CA7"/>
    <w:rsid w:val="6D655CEE"/>
    <w:rsid w:val="6E166FE8"/>
    <w:rsid w:val="6E31797E"/>
    <w:rsid w:val="6F1B54AF"/>
    <w:rsid w:val="6F8F2BAE"/>
    <w:rsid w:val="6FB70357"/>
    <w:rsid w:val="6FCC3E02"/>
    <w:rsid w:val="71431EA2"/>
    <w:rsid w:val="733F2B3D"/>
    <w:rsid w:val="733F6699"/>
    <w:rsid w:val="73426189"/>
    <w:rsid w:val="74575C64"/>
    <w:rsid w:val="756B19C7"/>
    <w:rsid w:val="75F220E9"/>
    <w:rsid w:val="771A18F7"/>
    <w:rsid w:val="77512E3F"/>
    <w:rsid w:val="776C1A27"/>
    <w:rsid w:val="77F9775E"/>
    <w:rsid w:val="78857244"/>
    <w:rsid w:val="79282FB1"/>
    <w:rsid w:val="7B9C6D7F"/>
    <w:rsid w:val="7BEC1388"/>
    <w:rsid w:val="7D87580C"/>
    <w:rsid w:val="7DB67EA0"/>
    <w:rsid w:val="7E722019"/>
    <w:rsid w:val="7ED56104"/>
    <w:rsid w:val="7F55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2656</Words>
  <Characters>2696</Characters>
  <Lines>0</Lines>
  <Paragraphs>0</Paragraphs>
  <TotalTime>14</TotalTime>
  <ScaleCrop>false</ScaleCrop>
  <LinksUpToDate>false</LinksUpToDate>
  <CharactersWithSpaces>2853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2022-08-05T00:24:00Z</dcterms:created>
  <dc:creator>Administrator</dc:creator>
  <cp:lastModifiedBy>燕</cp:lastModifiedBy>
  <cp:lastPrinted>2023-08-25T00:05:00Z</cp:lastPrinted>
  <dcterms:modified xsi:type="dcterms:W3CDTF">2024-10-09T06:08:28Z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C76132668B4843E097EE3ACEEA76BCDF_13</vt:lpwstr>
  </property>
</Properties>
</file>