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F5FE0">
      <w:pPr>
        <w:pStyle w:val="2"/>
        <w:jc w:val="both"/>
        <w:rPr>
          <w:color w:val="000000"/>
        </w:rPr>
      </w:pPr>
      <w:r>
        <w:rPr>
          <w:rFonts w:hint="eastAsia"/>
          <w:color w:val="000000"/>
        </w:rPr>
        <w:t>附件</w:t>
      </w:r>
      <w:r>
        <w:rPr>
          <w:rFonts w:hint="eastAsia"/>
          <w:color w:val="000000"/>
          <w:lang w:val="en-US" w:eastAsia="zh-CN"/>
        </w:rPr>
        <w:t>4</w:t>
      </w:r>
      <w:r>
        <w:rPr>
          <w:rFonts w:hint="eastAsia"/>
          <w:color w:val="000000"/>
        </w:rPr>
        <w:t>：</w:t>
      </w:r>
    </w:p>
    <w:p w14:paraId="2710AFFE">
      <w:pPr>
        <w:spacing w:line="360" w:lineRule="auto"/>
        <w:ind w:firstLine="602" w:firstLineChars="200"/>
        <w:jc w:val="center"/>
        <w:rPr>
          <w:rFonts w:hint="eastAsia" w:ascii="宋体" w:hAnsi="宋体" w:cs="宋体"/>
          <w:b/>
          <w:bCs/>
          <w:sz w:val="30"/>
          <w:szCs w:val="30"/>
          <w:lang w:eastAsia="zh-CN"/>
        </w:rPr>
      </w:pPr>
      <w:r>
        <w:rPr>
          <w:rFonts w:hint="eastAsia" w:ascii="宋体" w:hAnsi="宋体" w:cs="宋体"/>
          <w:b/>
          <w:bCs/>
          <w:sz w:val="30"/>
          <w:szCs w:val="30"/>
          <w:lang w:val="en-US" w:eastAsia="zh-CN"/>
        </w:rPr>
        <w:t>评审方案</w:t>
      </w:r>
    </w:p>
    <w:p w14:paraId="3B4F2A85">
      <w:pPr>
        <w:spacing w:line="360" w:lineRule="auto"/>
        <w:ind w:firstLine="422" w:firstLineChars="200"/>
        <w:rPr>
          <w:rFonts w:hint="eastAsia" w:ascii="宋体" w:hAnsi="宋体"/>
          <w:b w:val="0"/>
          <w:bCs w:val="0"/>
          <w:szCs w:val="21"/>
          <w:highlight w:val="none"/>
          <w:lang w:val="en-US" w:eastAsia="zh-CN"/>
        </w:rPr>
      </w:pPr>
      <w:r>
        <w:rPr>
          <w:rFonts w:hint="eastAsia" w:ascii="宋体" w:hAnsi="宋体"/>
          <w:b/>
          <w:bCs/>
          <w:szCs w:val="21"/>
          <w:highlight w:val="none"/>
          <w:lang w:val="en-US" w:eastAsia="zh-CN"/>
        </w:rPr>
        <w:t>1、评审步骤：</w:t>
      </w:r>
      <w:r>
        <w:rPr>
          <w:rFonts w:hint="eastAsia" w:ascii="宋体" w:hAnsi="宋体"/>
          <w:b w:val="0"/>
          <w:bCs w:val="0"/>
          <w:szCs w:val="21"/>
          <w:highlight w:val="none"/>
          <w:lang w:val="en-US" w:eastAsia="zh-CN"/>
        </w:rPr>
        <w:t>评审小组对响应文件的评审分为初审（资格性和符合性审查，详见响应文件模版参考内容）和详细评审，初审通过才进入详细评审环节。</w:t>
      </w:r>
    </w:p>
    <w:p w14:paraId="0A0E0CBC">
      <w:p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2、详细评审时，根据评分表的内容，评审小组各成员应当独立对每个有效响应的文件进行评价、打分，从商务技术和价格方面进行综合评审。各成员评分的算术平均值即为该供应商的商务技术得分。得分按四舍五入规则，精确到小数点后2位。</w:t>
      </w:r>
    </w:p>
    <w:p w14:paraId="70DD3B52">
      <w:pPr>
        <w:spacing w:line="360" w:lineRule="auto"/>
        <w:ind w:firstLine="422" w:firstLineChars="200"/>
        <w:rPr>
          <w:rFonts w:hint="eastAsia" w:ascii="宋体" w:hAnsi="宋体"/>
          <w:b w:val="0"/>
          <w:bCs w:val="0"/>
          <w:szCs w:val="21"/>
          <w:highlight w:val="none"/>
          <w:lang w:val="en-US" w:eastAsia="zh-CN"/>
        </w:rPr>
      </w:pPr>
      <w:r>
        <w:rPr>
          <w:rFonts w:hint="eastAsia" w:ascii="宋体" w:hAnsi="宋体"/>
          <w:b/>
          <w:bCs/>
          <w:szCs w:val="21"/>
          <w:highlight w:val="none"/>
          <w:lang w:val="en-US" w:eastAsia="zh-CN"/>
        </w:rPr>
        <w:t>3、评审总得分＝商务技术得分+响应报价得分</w:t>
      </w:r>
      <w:r>
        <w:rPr>
          <w:rFonts w:hint="eastAsia" w:ascii="宋体" w:hAnsi="宋体"/>
          <w:b w:val="0"/>
          <w:bCs w:val="0"/>
          <w:szCs w:val="21"/>
          <w:highlight w:val="none"/>
          <w:lang w:val="en-US" w:eastAsia="zh-CN"/>
        </w:rPr>
        <w:t>　　</w:t>
      </w:r>
    </w:p>
    <w:p w14:paraId="554C9252">
      <w:p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4、评审小组按评审得分由高到低进行排序，排名第一的推荐为拟成交供应商，排名第二的供应商为第二成交候选人，排名第三的供应商为第三成交候选人,依此类推。出现综合总得分并列时，报价总价低的供应商名次靠前；若综合得分和报价总价都相同，按技术得分高的供应商名次靠前；若综合得分、报价总价和技术得分都相同，由全体评委投票确定名次。</w:t>
      </w:r>
    </w:p>
    <w:p w14:paraId="0FCCA592">
      <w:pPr>
        <w:spacing w:line="360" w:lineRule="auto"/>
        <w:ind w:firstLine="422" w:firstLineChars="200"/>
        <w:rPr>
          <w:rFonts w:hint="eastAsia" w:ascii="宋体" w:hAnsi="宋体"/>
          <w:b/>
          <w:bCs/>
          <w:szCs w:val="21"/>
          <w:highlight w:val="none"/>
          <w:lang w:val="en-US" w:eastAsia="zh-CN"/>
        </w:rPr>
      </w:pPr>
      <w:r>
        <w:rPr>
          <w:rFonts w:hint="eastAsia" w:ascii="宋体" w:hAnsi="宋体"/>
          <w:b/>
          <w:bCs/>
          <w:szCs w:val="21"/>
          <w:highlight w:val="none"/>
          <w:lang w:val="en-US" w:eastAsia="zh-CN"/>
        </w:rPr>
        <w:t>5、响应文件的澄清</w:t>
      </w:r>
    </w:p>
    <w:p w14:paraId="501AE245">
      <w:p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评审期间，对响应文件中含义不明确、同类问题表述不一致或者有明显文字和计算错误的内容，评审小组可以书面形式（应当由评审小组专家签字）要求供应商作出必要的澄清、说明或者纠正，但不得允许供应商对响应报价等实质性内容做任何更改。供应商的澄清、说明或者纠正应当采用书面形式，由其授权的代表签字，并不得超出响应文件的范围或者改变响应文件的实质性内容。有关澄清的答复均应由供应商的法定代表人或授权代表签名的书面形式作出。供应商的澄清文件是其响应文件的组成部分。</w:t>
      </w:r>
    </w:p>
    <w:p w14:paraId="1DE55AE2">
      <w:pPr>
        <w:numPr>
          <w:ilvl w:val="0"/>
          <w:numId w:val="0"/>
        </w:numPr>
        <w:spacing w:line="360" w:lineRule="auto"/>
        <w:ind w:firstLine="420" w:firstLineChars="200"/>
        <w:rPr>
          <w:rFonts w:hint="eastAsia" w:ascii="宋体" w:hAnsi="宋体"/>
          <w:b w:val="0"/>
          <w:bCs w:val="0"/>
          <w:szCs w:val="21"/>
          <w:highlight w:val="none"/>
          <w:lang w:val="en-US" w:eastAsia="zh-CN"/>
        </w:rPr>
      </w:pPr>
      <w:r>
        <w:rPr>
          <w:rFonts w:hint="eastAsia" w:ascii="宋体" w:hAnsi="宋体" w:eastAsia="宋体" w:cs="Times New Roman"/>
          <w:b w:val="0"/>
          <w:bCs w:val="0"/>
          <w:kern w:val="2"/>
          <w:sz w:val="21"/>
          <w:szCs w:val="21"/>
          <w:lang w:val="en-US" w:eastAsia="zh-CN" w:bidi="ar-SA"/>
        </w:rPr>
        <w:t>6、</w:t>
      </w:r>
      <w:r>
        <w:rPr>
          <w:rFonts w:hint="eastAsia" w:ascii="宋体" w:hAnsi="宋体"/>
          <w:b w:val="0"/>
          <w:bCs w:val="0"/>
          <w:szCs w:val="21"/>
          <w:highlight w:val="none"/>
          <w:lang w:val="en-US" w:eastAsia="zh-CN"/>
        </w:rPr>
        <w:t>成交供应商未向采购人来书面函退出或违反采购文件规定的，则采购人视为该成交供应商放弃成交资格。采购人可以按照评审报告的成交候选人名单顺序，确定下一候选人为成交供应商，也可以重新开展采购活动。</w:t>
      </w:r>
    </w:p>
    <w:p w14:paraId="59019F1F">
      <w:pPr>
        <w:spacing w:line="360" w:lineRule="auto"/>
        <w:ind w:firstLine="420" w:firstLineChars="200"/>
        <w:rPr>
          <w:rFonts w:hint="eastAsia" w:ascii="宋体" w:hAnsi="宋体" w:eastAsia="宋体" w:cs="宋体"/>
          <w:szCs w:val="21"/>
        </w:rPr>
      </w:pPr>
    </w:p>
    <w:p w14:paraId="392C8AE8">
      <w:pPr>
        <w:pStyle w:val="6"/>
        <w:ind w:left="0"/>
        <w:jc w:val="center"/>
        <w:rPr>
          <w:rFonts w:hint="default"/>
          <w:sz w:val="28"/>
          <w:szCs w:val="28"/>
          <w:lang w:val="en-US" w:eastAsia="zh-CN"/>
        </w:rPr>
      </w:pPr>
      <w:r>
        <w:rPr>
          <w:rFonts w:hint="eastAsia" w:ascii="宋体" w:hAnsi="宋体" w:cs="宋体"/>
          <w:b/>
          <w:bCs/>
          <w:sz w:val="28"/>
          <w:szCs w:val="28"/>
          <w:lang w:val="en-US" w:eastAsia="zh-CN"/>
        </w:rPr>
        <w:t>附表：</w:t>
      </w:r>
      <w:r>
        <w:rPr>
          <w:rFonts w:hint="eastAsia" w:ascii="宋体" w:hAnsi="宋体" w:cs="宋体"/>
          <w:b/>
          <w:bCs/>
          <w:sz w:val="28"/>
          <w:szCs w:val="28"/>
          <w:lang w:eastAsia="zh-CN"/>
        </w:rPr>
        <w:t>中山市黄圃人民医院2025年度第三方满意度调查服务项目</w:t>
      </w:r>
      <w:r>
        <w:rPr>
          <w:rFonts w:hint="eastAsia" w:ascii="宋体" w:hAnsi="宋体" w:eastAsia="宋体" w:cs="宋体"/>
          <w:b/>
          <w:bCs/>
          <w:sz w:val="28"/>
          <w:szCs w:val="28"/>
        </w:rPr>
        <w:t>评分表</w:t>
      </w:r>
    </w:p>
    <w:tbl>
      <w:tblPr>
        <w:tblStyle w:val="9"/>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087"/>
        <w:gridCol w:w="6443"/>
        <w:gridCol w:w="809"/>
      </w:tblGrid>
      <w:tr w14:paraId="1949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916" w:type="dxa"/>
            <w:noWrap w:val="0"/>
            <w:vAlign w:val="center"/>
          </w:tcPr>
          <w:p w14:paraId="3AED712C">
            <w:pPr>
              <w:pStyle w:val="7"/>
              <w:tabs>
                <w:tab w:val="clear" w:pos="4153"/>
                <w:tab w:val="clear" w:pos="8306"/>
              </w:tabs>
              <w:snapToGrid/>
              <w:spacing w:line="360" w:lineRule="auto"/>
              <w:jc w:val="center"/>
              <w:rPr>
                <w:rFonts w:hint="eastAsia" w:ascii="宋体" w:hAnsi="宋体" w:eastAsia="宋体" w:cs="宋体"/>
                <w:b/>
                <w:bCs/>
                <w:color w:val="auto"/>
                <w:sz w:val="21"/>
                <w:szCs w:val="21"/>
                <w:lang w:eastAsia="zh-CN"/>
              </w:rPr>
            </w:pPr>
            <w:bookmarkStart w:id="0" w:name="OLE_LINK2"/>
            <w:r>
              <w:rPr>
                <w:rFonts w:hint="eastAsia" w:ascii="宋体" w:hAnsi="宋体" w:cs="宋体"/>
                <w:b/>
                <w:bCs/>
                <w:color w:val="auto"/>
                <w:sz w:val="21"/>
                <w:szCs w:val="21"/>
                <w:lang w:eastAsia="zh-CN"/>
              </w:rPr>
              <w:t>项目</w:t>
            </w:r>
          </w:p>
        </w:tc>
        <w:tc>
          <w:tcPr>
            <w:tcW w:w="1087" w:type="dxa"/>
            <w:noWrap w:val="0"/>
            <w:vAlign w:val="center"/>
          </w:tcPr>
          <w:p w14:paraId="2F7322C9">
            <w:pPr>
              <w:pStyle w:val="7"/>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评审因素</w:t>
            </w:r>
          </w:p>
        </w:tc>
        <w:tc>
          <w:tcPr>
            <w:tcW w:w="6443" w:type="dxa"/>
            <w:noWrap w:val="0"/>
            <w:vAlign w:val="center"/>
          </w:tcPr>
          <w:p w14:paraId="6C87C9A1">
            <w:pPr>
              <w:pStyle w:val="7"/>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评分细则</w:t>
            </w:r>
          </w:p>
        </w:tc>
        <w:tc>
          <w:tcPr>
            <w:tcW w:w="809" w:type="dxa"/>
            <w:noWrap w:val="0"/>
            <w:vAlign w:val="center"/>
          </w:tcPr>
          <w:p w14:paraId="0730F95C">
            <w:pPr>
              <w:pStyle w:val="7"/>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分值</w:t>
            </w:r>
          </w:p>
        </w:tc>
      </w:tr>
      <w:tr w14:paraId="288A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vMerge w:val="restart"/>
            <w:noWrap w:val="0"/>
            <w:vAlign w:val="center"/>
          </w:tcPr>
          <w:p w14:paraId="3E50C32E">
            <w:pPr>
              <w:widowControl/>
              <w:spacing w:line="360" w:lineRule="auto"/>
              <w:jc w:val="center"/>
              <w:rPr>
                <w:rFonts w:hint="default" w:ascii="宋体" w:hAnsi="宋体" w:eastAsia="宋体" w:cs="宋体"/>
                <w:color w:val="auto"/>
                <w:spacing w:val="15"/>
                <w:kern w:val="0"/>
                <w:szCs w:val="21"/>
                <w:shd w:val="clear" w:color="auto" w:fill="FFFFFF"/>
                <w:lang w:val="en-US" w:eastAsia="zh-CN"/>
              </w:rPr>
            </w:pPr>
            <w:r>
              <w:rPr>
                <w:rFonts w:hint="eastAsia" w:ascii="宋体" w:hAnsi="宋体" w:cs="宋体"/>
                <w:color w:val="auto"/>
                <w:spacing w:val="15"/>
                <w:kern w:val="0"/>
                <w:szCs w:val="21"/>
                <w:shd w:val="clear" w:color="auto" w:fill="FFFFFF"/>
                <w:lang w:val="en-US" w:eastAsia="zh-CN"/>
              </w:rPr>
              <w:t>商务技术部分</w:t>
            </w:r>
          </w:p>
        </w:tc>
        <w:tc>
          <w:tcPr>
            <w:tcW w:w="1087" w:type="dxa"/>
            <w:noWrap w:val="0"/>
            <w:vAlign w:val="center"/>
          </w:tcPr>
          <w:p w14:paraId="6281BBBC">
            <w:pPr>
              <w:rPr>
                <w:rFonts w:hint="eastAsia" w:ascii="Times New Roman" w:hAnsi="Times New Roman" w:eastAsia="宋体" w:cs="Times New Roman"/>
                <w:kern w:val="2"/>
                <w:sz w:val="21"/>
                <w:szCs w:val="21"/>
                <w:lang w:val="en-US" w:eastAsia="zh-CN" w:bidi="ar-SA"/>
              </w:rPr>
            </w:pPr>
            <w:r>
              <w:rPr>
                <w:rFonts w:hint="eastAsia"/>
                <w:sz w:val="21"/>
                <w:szCs w:val="21"/>
              </w:rPr>
              <w:t>商务条款响应程度</w:t>
            </w:r>
          </w:p>
        </w:tc>
        <w:tc>
          <w:tcPr>
            <w:tcW w:w="6443" w:type="dxa"/>
            <w:noWrap w:val="0"/>
            <w:vAlign w:val="center"/>
          </w:tcPr>
          <w:p w14:paraId="6C243189">
            <w:pPr>
              <w:rPr>
                <w:rFonts w:hint="eastAsia"/>
                <w:color w:val="auto"/>
                <w:sz w:val="21"/>
                <w:szCs w:val="21"/>
                <w:lang w:val="en-US"/>
              </w:rPr>
            </w:pPr>
            <w:r>
              <w:rPr>
                <w:rFonts w:hint="eastAsia"/>
                <w:color w:val="auto"/>
                <w:sz w:val="21"/>
                <w:szCs w:val="21"/>
                <w:lang w:val="en-US"/>
              </w:rPr>
              <w:t>对</w:t>
            </w:r>
            <w:r>
              <w:rPr>
                <w:rFonts w:hint="eastAsia"/>
                <w:color w:val="auto"/>
                <w:sz w:val="21"/>
                <w:szCs w:val="21"/>
                <w:lang w:val="en-US" w:eastAsia="zh-CN"/>
              </w:rPr>
              <w:t>附件5</w:t>
            </w:r>
            <w:r>
              <w:rPr>
                <w:rFonts w:hint="eastAsia"/>
                <w:color w:val="auto"/>
                <w:sz w:val="21"/>
                <w:szCs w:val="21"/>
                <w:lang w:val="en-US"/>
              </w:rPr>
              <w:t>《商务条款响应表》各条款响应程度进行评审：</w:t>
            </w:r>
          </w:p>
          <w:p w14:paraId="499E4AA9">
            <w:pPr>
              <w:rPr>
                <w:rFonts w:hint="eastAsia"/>
                <w:color w:val="auto"/>
                <w:sz w:val="21"/>
                <w:szCs w:val="21"/>
                <w:lang w:val="en-US"/>
              </w:rPr>
            </w:pPr>
            <w:r>
              <w:rPr>
                <w:rFonts w:hint="eastAsia"/>
                <w:color w:val="auto"/>
                <w:sz w:val="21"/>
                <w:szCs w:val="21"/>
                <w:lang w:val="en-US"/>
              </w:rPr>
              <w:t>完全响应或优于用户需求的得</w:t>
            </w:r>
            <w:r>
              <w:rPr>
                <w:rFonts w:hint="eastAsia"/>
                <w:color w:val="auto"/>
                <w:sz w:val="21"/>
                <w:szCs w:val="21"/>
                <w:lang w:val="en-US" w:eastAsia="zh-CN"/>
              </w:rPr>
              <w:t>4</w:t>
            </w:r>
            <w:r>
              <w:rPr>
                <w:rFonts w:hint="eastAsia"/>
                <w:color w:val="auto"/>
                <w:sz w:val="21"/>
                <w:szCs w:val="21"/>
                <w:lang w:val="en-US"/>
              </w:rPr>
              <w:t>分，</w:t>
            </w:r>
          </w:p>
          <w:p w14:paraId="5BB869CA">
            <w:pPr>
              <w:rPr>
                <w:rFonts w:hint="default"/>
                <w:color w:val="auto"/>
                <w:sz w:val="21"/>
                <w:szCs w:val="21"/>
                <w:lang w:val="en-US" w:eastAsia="zh-CN"/>
              </w:rPr>
            </w:pPr>
            <w:r>
              <w:rPr>
                <w:rFonts w:hint="eastAsia"/>
                <w:color w:val="auto"/>
                <w:sz w:val="21"/>
                <w:szCs w:val="21"/>
                <w:lang w:val="en-US"/>
              </w:rPr>
              <w:t>负偏离或不完全响应的，每项扣</w:t>
            </w:r>
            <w:r>
              <w:rPr>
                <w:rFonts w:hint="eastAsia"/>
                <w:color w:val="auto"/>
                <w:sz w:val="21"/>
                <w:szCs w:val="21"/>
                <w:lang w:val="en-US" w:eastAsia="zh-CN"/>
              </w:rPr>
              <w:t>0.5</w:t>
            </w:r>
            <w:r>
              <w:rPr>
                <w:rFonts w:hint="eastAsia"/>
                <w:color w:val="auto"/>
                <w:sz w:val="21"/>
                <w:szCs w:val="21"/>
                <w:lang w:val="en-US"/>
              </w:rPr>
              <w:t>分，扣完为止。</w:t>
            </w:r>
          </w:p>
        </w:tc>
        <w:tc>
          <w:tcPr>
            <w:tcW w:w="809" w:type="dxa"/>
            <w:noWrap w:val="0"/>
            <w:vAlign w:val="center"/>
          </w:tcPr>
          <w:p w14:paraId="20D26AC1">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4</w:t>
            </w:r>
            <w:r>
              <w:rPr>
                <w:rFonts w:hint="eastAsia"/>
                <w:color w:val="auto"/>
                <w:sz w:val="21"/>
                <w:szCs w:val="21"/>
              </w:rPr>
              <w:t>分</w:t>
            </w:r>
          </w:p>
        </w:tc>
      </w:tr>
      <w:tr w14:paraId="2190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vMerge w:val="continue"/>
            <w:noWrap w:val="0"/>
            <w:vAlign w:val="center"/>
          </w:tcPr>
          <w:p w14:paraId="4FC89054">
            <w:pPr>
              <w:widowControl/>
              <w:spacing w:line="360" w:lineRule="auto"/>
              <w:jc w:val="center"/>
              <w:rPr>
                <w:rFonts w:hint="eastAsia" w:ascii="宋体" w:hAnsi="宋体" w:cs="宋体"/>
                <w:color w:val="auto"/>
                <w:spacing w:val="15"/>
                <w:kern w:val="0"/>
                <w:szCs w:val="21"/>
                <w:shd w:val="clear" w:color="auto" w:fill="FFFFFF"/>
                <w:lang w:val="en-US" w:eastAsia="zh-CN"/>
              </w:rPr>
            </w:pPr>
          </w:p>
        </w:tc>
        <w:tc>
          <w:tcPr>
            <w:tcW w:w="1087" w:type="dxa"/>
            <w:noWrap w:val="0"/>
            <w:vAlign w:val="center"/>
          </w:tcPr>
          <w:p w14:paraId="7D8B9D1E">
            <w:pPr>
              <w:jc w:val="center"/>
              <w:rPr>
                <w:rFonts w:hint="eastAsia" w:ascii="Times New Roman" w:hAnsi="Times New Roman" w:eastAsia="宋体" w:cs="Times New Roman"/>
                <w:kern w:val="2"/>
                <w:sz w:val="21"/>
                <w:szCs w:val="21"/>
                <w:lang w:val="en-US" w:eastAsia="zh-CN" w:bidi="ar-SA"/>
              </w:rPr>
            </w:pPr>
            <w:r>
              <w:rPr>
                <w:rFonts w:hint="eastAsia"/>
                <w:sz w:val="21"/>
                <w:szCs w:val="21"/>
              </w:rPr>
              <w:t>项目业绩</w:t>
            </w:r>
          </w:p>
        </w:tc>
        <w:tc>
          <w:tcPr>
            <w:tcW w:w="6443" w:type="dxa"/>
            <w:noWrap w:val="0"/>
            <w:vAlign w:val="center"/>
          </w:tcPr>
          <w:p w14:paraId="39C26EC4">
            <w:pPr>
              <w:rPr>
                <w:rFonts w:hint="eastAsia"/>
                <w:color w:val="auto"/>
                <w:sz w:val="21"/>
                <w:szCs w:val="21"/>
                <w:lang w:val="en-US" w:eastAsia="zh-CN"/>
              </w:rPr>
            </w:pPr>
            <w:r>
              <w:rPr>
                <w:rFonts w:hint="eastAsia"/>
                <w:color w:val="auto"/>
                <w:sz w:val="21"/>
                <w:szCs w:val="21"/>
                <w:lang w:val="en-US" w:eastAsia="zh-CN"/>
              </w:rPr>
              <w:t>报价人在 2021 年1月1日以来完成同类（专业群评价项目类似业绩）调查项目案例情况； 提供一项得2.5分，最高5分，无不得分。</w:t>
            </w:r>
          </w:p>
          <w:p w14:paraId="78AECA32">
            <w:pPr>
              <w:rPr>
                <w:rFonts w:hint="eastAsia"/>
                <w:color w:val="auto"/>
                <w:sz w:val="21"/>
                <w:szCs w:val="21"/>
                <w:lang w:val="en-US" w:eastAsia="zh-CN"/>
              </w:rPr>
            </w:pPr>
            <w:r>
              <w:rPr>
                <w:rFonts w:hint="eastAsia"/>
                <w:color w:val="auto"/>
                <w:sz w:val="21"/>
                <w:szCs w:val="21"/>
                <w:lang w:val="en-US" w:eastAsia="zh-CN"/>
              </w:rPr>
              <w:t>备注：</w:t>
            </w:r>
          </w:p>
          <w:p w14:paraId="31B44DF9">
            <w:pPr>
              <w:rPr>
                <w:rFonts w:hint="eastAsia"/>
                <w:color w:val="auto"/>
                <w:sz w:val="21"/>
                <w:szCs w:val="21"/>
                <w:lang w:val="en-US" w:eastAsia="zh-CN"/>
              </w:rPr>
            </w:pPr>
            <w:r>
              <w:rPr>
                <w:rFonts w:hint="eastAsia"/>
                <w:color w:val="auto"/>
                <w:sz w:val="21"/>
                <w:szCs w:val="21"/>
                <w:lang w:val="en-US" w:eastAsia="zh-CN"/>
              </w:rPr>
              <w:t xml:space="preserve">①以分公司名义报价的报价人其业绩须出自其所属分公司，否则不得分。 </w:t>
            </w:r>
          </w:p>
          <w:p w14:paraId="6D06AC42">
            <w:pPr>
              <w:rPr>
                <w:rFonts w:hint="eastAsia"/>
                <w:color w:val="auto"/>
                <w:sz w:val="21"/>
                <w:szCs w:val="21"/>
                <w:lang w:val="en-US" w:eastAsia="zh-CN"/>
              </w:rPr>
            </w:pPr>
            <w:r>
              <w:rPr>
                <w:rFonts w:hint="eastAsia"/>
                <w:color w:val="auto"/>
                <w:sz w:val="21"/>
                <w:szCs w:val="21"/>
                <w:lang w:val="en-US" w:eastAsia="zh-CN"/>
              </w:rPr>
              <w:t xml:space="preserve">②须提供合同关键页复印件，未提供不得分；以合同签订时间为准。合同关键页须体现合同甲乙双方、项目名称、项目内容及合同甲乙双方签章的关键信息，不提供材料不得分。 </w:t>
            </w:r>
          </w:p>
          <w:p w14:paraId="23A44C8A">
            <w:pPr>
              <w:rPr>
                <w:rFonts w:hint="default"/>
                <w:color w:val="auto"/>
                <w:sz w:val="21"/>
                <w:szCs w:val="21"/>
                <w:lang w:val="en-US" w:eastAsia="zh-CN"/>
              </w:rPr>
            </w:pPr>
            <w:r>
              <w:rPr>
                <w:rFonts w:hint="eastAsia"/>
                <w:color w:val="auto"/>
                <w:sz w:val="21"/>
                <w:szCs w:val="21"/>
                <w:lang w:val="en-US" w:eastAsia="zh-CN"/>
              </w:rPr>
              <w:t>③同一用户不同业绩只能计算一次得分，不得重复计分。</w:t>
            </w:r>
          </w:p>
        </w:tc>
        <w:tc>
          <w:tcPr>
            <w:tcW w:w="809" w:type="dxa"/>
            <w:noWrap w:val="0"/>
            <w:vAlign w:val="center"/>
          </w:tcPr>
          <w:p w14:paraId="69EAF6E8">
            <w:pPr>
              <w:jc w:val="center"/>
              <w:rPr>
                <w:rFonts w:hint="eastAsia" w:ascii="Times New Roman" w:hAnsi="Times New Roman" w:eastAsia="宋体" w:cs="Times New Roman"/>
                <w:kern w:val="2"/>
                <w:sz w:val="21"/>
                <w:szCs w:val="21"/>
                <w:lang w:val="en-US" w:eastAsia="zh-CN" w:bidi="ar-SA"/>
              </w:rPr>
            </w:pPr>
            <w:r>
              <w:rPr>
                <w:rFonts w:hint="eastAsia"/>
                <w:bCs/>
                <w:color w:val="auto"/>
                <w:sz w:val="21"/>
                <w:szCs w:val="21"/>
                <w:lang w:val="en-US" w:eastAsia="zh-CN"/>
              </w:rPr>
              <w:t>5</w:t>
            </w:r>
            <w:r>
              <w:rPr>
                <w:rFonts w:hint="eastAsia"/>
                <w:bCs/>
                <w:sz w:val="21"/>
                <w:szCs w:val="21"/>
              </w:rPr>
              <w:t>分</w:t>
            </w:r>
          </w:p>
        </w:tc>
      </w:tr>
      <w:tr w14:paraId="4E7B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vMerge w:val="continue"/>
            <w:noWrap w:val="0"/>
            <w:vAlign w:val="center"/>
          </w:tcPr>
          <w:p w14:paraId="6239D09D">
            <w:pPr>
              <w:widowControl/>
              <w:spacing w:line="360" w:lineRule="auto"/>
              <w:jc w:val="center"/>
              <w:rPr>
                <w:rFonts w:hint="eastAsia" w:ascii="宋体" w:hAnsi="宋体" w:cs="宋体"/>
                <w:color w:val="auto"/>
                <w:spacing w:val="15"/>
                <w:kern w:val="0"/>
                <w:szCs w:val="21"/>
                <w:shd w:val="clear" w:color="auto" w:fill="FFFFFF"/>
                <w:lang w:val="en-US" w:eastAsia="zh-CN"/>
              </w:rPr>
            </w:pPr>
          </w:p>
        </w:tc>
        <w:tc>
          <w:tcPr>
            <w:tcW w:w="1087" w:type="dxa"/>
            <w:noWrap w:val="0"/>
            <w:vAlign w:val="center"/>
          </w:tcPr>
          <w:p w14:paraId="48378256">
            <w:pPr>
              <w:jc w:val="center"/>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sz w:val="21"/>
                <w:szCs w:val="21"/>
                <w:lang w:eastAsia="zh-CN"/>
              </w:rPr>
              <w:t>供应商</w:t>
            </w:r>
            <w:r>
              <w:rPr>
                <w:rFonts w:hint="eastAsia" w:ascii="宋体" w:hAnsi="宋体" w:cs="宋体"/>
                <w:color w:val="auto"/>
                <w:sz w:val="21"/>
                <w:szCs w:val="21"/>
              </w:rPr>
              <w:t>资质</w:t>
            </w:r>
          </w:p>
        </w:tc>
        <w:tc>
          <w:tcPr>
            <w:tcW w:w="6443" w:type="dxa"/>
            <w:noWrap w:val="0"/>
            <w:vAlign w:val="center"/>
          </w:tcPr>
          <w:p w14:paraId="70398CB4">
            <w:pPr>
              <w:rPr>
                <w:rFonts w:hint="eastAsia"/>
                <w:color w:val="auto"/>
                <w:sz w:val="21"/>
                <w:szCs w:val="21"/>
                <w:lang w:val="en-US"/>
              </w:rPr>
            </w:pPr>
            <w:r>
              <w:rPr>
                <w:rFonts w:hint="eastAsia"/>
                <w:color w:val="auto"/>
                <w:sz w:val="21"/>
                <w:szCs w:val="21"/>
                <w:lang w:val="en-US"/>
              </w:rPr>
              <w:t>①具有有效期内的信息安全管理体系认证证书，有得1分，无不得分；</w:t>
            </w:r>
          </w:p>
          <w:p w14:paraId="2E2DC76A">
            <w:pPr>
              <w:rPr>
                <w:rFonts w:hint="eastAsia"/>
                <w:color w:val="auto"/>
                <w:sz w:val="21"/>
                <w:szCs w:val="21"/>
                <w:lang w:val="en-US"/>
              </w:rPr>
            </w:pPr>
            <w:r>
              <w:rPr>
                <w:rFonts w:hint="eastAsia"/>
                <w:color w:val="auto"/>
                <w:sz w:val="21"/>
                <w:szCs w:val="21"/>
                <w:lang w:val="en-US"/>
              </w:rPr>
              <w:t>②具有有效期内的质量管理体系认证证书，有得1分，无不得分；</w:t>
            </w:r>
          </w:p>
          <w:p w14:paraId="5221B0C4">
            <w:pPr>
              <w:rPr>
                <w:rFonts w:hint="eastAsia"/>
                <w:color w:val="auto"/>
                <w:sz w:val="21"/>
                <w:szCs w:val="21"/>
                <w:lang w:val="en-US"/>
              </w:rPr>
            </w:pPr>
            <w:r>
              <w:rPr>
                <w:rFonts w:hint="eastAsia"/>
                <w:color w:val="auto"/>
                <w:sz w:val="21"/>
                <w:szCs w:val="21"/>
                <w:lang w:val="en-US"/>
              </w:rPr>
              <w:t>③具有有效期内的环境管理体系认证证书，有得1分，无不得分；</w:t>
            </w:r>
          </w:p>
          <w:p w14:paraId="0CD011BC">
            <w:pPr>
              <w:rPr>
                <w:rFonts w:hint="default"/>
                <w:color w:val="auto"/>
                <w:sz w:val="21"/>
                <w:szCs w:val="21"/>
                <w:lang w:val="en-US" w:eastAsia="zh-CN"/>
              </w:rPr>
            </w:pPr>
            <w:r>
              <w:rPr>
                <w:rFonts w:hint="eastAsia"/>
                <w:color w:val="auto"/>
                <w:sz w:val="21"/>
                <w:szCs w:val="21"/>
                <w:lang w:val="en-US"/>
              </w:rPr>
              <w:t>④具有有效期内的职业健康安全管理体系认证证书，有得1分，无不得分。</w:t>
            </w:r>
          </w:p>
        </w:tc>
        <w:tc>
          <w:tcPr>
            <w:tcW w:w="809" w:type="dxa"/>
            <w:noWrap w:val="0"/>
            <w:vAlign w:val="center"/>
          </w:tcPr>
          <w:p w14:paraId="239E9C26">
            <w:pPr>
              <w:jc w:val="center"/>
              <w:rPr>
                <w:rFonts w:hint="eastAsia" w:ascii="Times New Roman" w:hAnsi="Times New Roman" w:eastAsia="宋体" w:cs="Times New Roman"/>
                <w:kern w:val="2"/>
                <w:sz w:val="21"/>
                <w:szCs w:val="21"/>
                <w:lang w:val="en-US" w:eastAsia="zh-CN" w:bidi="ar-SA"/>
              </w:rPr>
            </w:pPr>
            <w:r>
              <w:rPr>
                <w:rFonts w:hint="eastAsia"/>
                <w:bCs/>
                <w:sz w:val="21"/>
                <w:szCs w:val="21"/>
              </w:rPr>
              <w:t>4分</w:t>
            </w:r>
          </w:p>
        </w:tc>
      </w:tr>
      <w:tr w14:paraId="24EF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vMerge w:val="continue"/>
            <w:noWrap w:val="0"/>
            <w:vAlign w:val="center"/>
          </w:tcPr>
          <w:p w14:paraId="30A8CC5B">
            <w:pPr>
              <w:widowControl/>
              <w:spacing w:line="360" w:lineRule="auto"/>
              <w:jc w:val="center"/>
              <w:rPr>
                <w:rFonts w:hint="eastAsia" w:ascii="宋体" w:hAnsi="宋体" w:cs="宋体"/>
                <w:color w:val="auto"/>
                <w:spacing w:val="15"/>
                <w:kern w:val="0"/>
                <w:szCs w:val="21"/>
                <w:shd w:val="clear" w:color="auto" w:fill="FFFFFF"/>
                <w:lang w:val="en-US" w:eastAsia="zh-CN"/>
              </w:rPr>
            </w:pPr>
          </w:p>
        </w:tc>
        <w:tc>
          <w:tcPr>
            <w:tcW w:w="1087" w:type="dxa"/>
            <w:noWrap w:val="0"/>
            <w:vAlign w:val="center"/>
          </w:tcPr>
          <w:p w14:paraId="77FDB5B4">
            <w:pPr>
              <w:pStyle w:val="7"/>
              <w:tabs>
                <w:tab w:val="clear" w:pos="4153"/>
                <w:tab w:val="clear" w:pos="8306"/>
              </w:tabs>
              <w:snapToGrid/>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项目团队成员配置情况</w:t>
            </w:r>
          </w:p>
        </w:tc>
        <w:tc>
          <w:tcPr>
            <w:tcW w:w="6443" w:type="dxa"/>
            <w:noWrap w:val="0"/>
            <w:vAlign w:val="center"/>
          </w:tcPr>
          <w:p w14:paraId="5183119F">
            <w:pPr>
              <w:rPr>
                <w:rFonts w:hint="default"/>
                <w:color w:val="auto"/>
                <w:sz w:val="21"/>
                <w:szCs w:val="21"/>
                <w:lang w:val="en-US" w:eastAsia="zh-CN"/>
              </w:rPr>
            </w:pPr>
            <w:r>
              <w:rPr>
                <w:rFonts w:hint="eastAsia"/>
                <w:color w:val="auto"/>
                <w:sz w:val="21"/>
                <w:szCs w:val="21"/>
                <w:lang w:val="en-US" w:eastAsia="zh-CN"/>
              </w:rPr>
              <w:t>具有统计调查类专业技术职称的，每提供一名得 0.5 分，最高得 2分。 提供职称证书复印件和在本公司任职的外部证明材料（如加盖政府有关部门印章的打印日期在本项目响应截止之前任意一个月的投保单或社会保险参保人员证明或单位代缴个人所得税税单等）</w:t>
            </w:r>
          </w:p>
        </w:tc>
        <w:tc>
          <w:tcPr>
            <w:tcW w:w="809" w:type="dxa"/>
            <w:noWrap w:val="0"/>
            <w:vAlign w:val="center"/>
          </w:tcPr>
          <w:p w14:paraId="7BAB744D">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w:t>
            </w:r>
            <w:r>
              <w:rPr>
                <w:rFonts w:hint="eastAsia"/>
                <w:color w:val="auto"/>
                <w:sz w:val="21"/>
                <w:szCs w:val="21"/>
              </w:rPr>
              <w:t>分</w:t>
            </w:r>
          </w:p>
        </w:tc>
      </w:tr>
      <w:tr w14:paraId="3BF1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vMerge w:val="continue"/>
            <w:noWrap w:val="0"/>
            <w:vAlign w:val="center"/>
          </w:tcPr>
          <w:p w14:paraId="373B5F84">
            <w:pPr>
              <w:widowControl/>
              <w:spacing w:line="360" w:lineRule="auto"/>
              <w:jc w:val="center"/>
              <w:rPr>
                <w:rFonts w:hint="default" w:ascii="宋体" w:hAnsi="宋体" w:eastAsia="宋体" w:cs="宋体"/>
                <w:color w:val="auto"/>
                <w:spacing w:val="15"/>
                <w:kern w:val="0"/>
                <w:szCs w:val="21"/>
                <w:shd w:val="clear" w:color="auto" w:fill="FFFFFF"/>
                <w:lang w:val="en-US" w:eastAsia="zh-CN"/>
              </w:rPr>
            </w:pPr>
          </w:p>
        </w:tc>
        <w:tc>
          <w:tcPr>
            <w:tcW w:w="1087" w:type="dxa"/>
            <w:noWrap w:val="0"/>
            <w:vAlign w:val="center"/>
          </w:tcPr>
          <w:p w14:paraId="3836AB3A">
            <w:pPr>
              <w:tabs>
                <w:tab w:val="decimal" w:pos="315"/>
                <w:tab w:val="left" w:pos="630"/>
              </w:tabs>
              <w:spacing w:line="276" w:lineRule="auto"/>
              <w:jc w:val="center"/>
              <w:rPr>
                <w:rFonts w:hint="eastAsia" w:ascii="宋体" w:hAnsi="宋体"/>
                <w:color w:val="auto"/>
                <w:szCs w:val="21"/>
                <w:highlight w:val="none"/>
              </w:rPr>
            </w:pPr>
            <w:r>
              <w:rPr>
                <w:rFonts w:hint="eastAsia"/>
                <w:color w:val="auto"/>
              </w:rPr>
              <w:t>技术条款响应程度</w:t>
            </w:r>
          </w:p>
        </w:tc>
        <w:tc>
          <w:tcPr>
            <w:tcW w:w="6443" w:type="dxa"/>
            <w:noWrap w:val="0"/>
            <w:vAlign w:val="center"/>
          </w:tcPr>
          <w:p w14:paraId="04AF210E">
            <w:pPr>
              <w:rPr>
                <w:rFonts w:hint="default"/>
                <w:color w:val="auto"/>
                <w:sz w:val="21"/>
                <w:szCs w:val="21"/>
                <w:lang w:val="en-US" w:eastAsia="zh-CN"/>
              </w:rPr>
            </w:pPr>
            <w:r>
              <w:rPr>
                <w:rFonts w:hint="eastAsia"/>
                <w:color w:val="auto"/>
                <w:sz w:val="21"/>
                <w:szCs w:val="21"/>
                <w:lang w:val="en-US" w:eastAsia="zh-CN"/>
              </w:rPr>
              <w:t>根据用户需求中“项目服务要求”</w:t>
            </w:r>
            <w:r>
              <w:rPr>
                <w:rFonts w:hint="default"/>
                <w:color w:val="auto"/>
                <w:sz w:val="21"/>
                <w:szCs w:val="21"/>
                <w:lang w:val="en-US" w:eastAsia="zh-CN"/>
              </w:rPr>
              <w:t>条款</w:t>
            </w:r>
            <w:r>
              <w:rPr>
                <w:rFonts w:hint="eastAsia"/>
                <w:color w:val="auto"/>
                <w:sz w:val="21"/>
                <w:szCs w:val="21"/>
                <w:lang w:val="en-US" w:eastAsia="zh-CN"/>
              </w:rPr>
              <w:t>（</w:t>
            </w:r>
            <w:r>
              <w:rPr>
                <w:rFonts w:hint="default"/>
                <w:color w:val="auto"/>
                <w:sz w:val="21"/>
                <w:szCs w:val="21"/>
                <w:lang w:val="en-US" w:eastAsia="zh-CN"/>
              </w:rPr>
              <w:t>共</w:t>
            </w:r>
            <w:r>
              <w:rPr>
                <w:rFonts w:hint="eastAsia"/>
                <w:color w:val="auto"/>
                <w:sz w:val="21"/>
                <w:szCs w:val="21"/>
                <w:lang w:val="en-US" w:eastAsia="zh-CN"/>
              </w:rPr>
              <w:t>26</w:t>
            </w:r>
            <w:r>
              <w:rPr>
                <w:rFonts w:hint="default"/>
                <w:color w:val="auto"/>
                <w:sz w:val="21"/>
                <w:szCs w:val="21"/>
                <w:lang w:val="en-US" w:eastAsia="zh-CN"/>
              </w:rPr>
              <w:t>条</w:t>
            </w:r>
            <w:r>
              <w:rPr>
                <w:rFonts w:hint="eastAsia"/>
                <w:color w:val="auto"/>
                <w:sz w:val="21"/>
                <w:szCs w:val="21"/>
                <w:lang w:val="en-US" w:eastAsia="zh-CN"/>
              </w:rPr>
              <w:t>，各条款每一小项均记为1条)的响应程度进行评审</w:t>
            </w:r>
            <w:r>
              <w:rPr>
                <w:rFonts w:hint="default"/>
                <w:color w:val="auto"/>
                <w:sz w:val="21"/>
                <w:szCs w:val="21"/>
                <w:lang w:val="en-US" w:eastAsia="zh-CN"/>
              </w:rPr>
              <w:t>，评审分数按以下公式进行计算：</w:t>
            </w:r>
          </w:p>
          <w:p w14:paraId="02520B55">
            <w:pPr>
              <w:rPr>
                <w:rFonts w:hint="eastAsia"/>
                <w:color w:val="auto"/>
                <w:sz w:val="21"/>
                <w:szCs w:val="21"/>
                <w:lang w:val="zh-CN" w:eastAsia="zh-CN"/>
              </w:rPr>
            </w:pPr>
            <w:r>
              <w:rPr>
                <w:rFonts w:hint="default"/>
                <w:color w:val="auto"/>
                <w:sz w:val="21"/>
                <w:szCs w:val="21"/>
                <w:lang w:val="en-US" w:eastAsia="zh-CN"/>
              </w:rPr>
              <w:t>优于或完全响应的参数数量/条款参数总数量×1</w:t>
            </w:r>
            <w:r>
              <w:rPr>
                <w:rFonts w:hint="eastAsia"/>
                <w:color w:val="auto"/>
                <w:sz w:val="21"/>
                <w:szCs w:val="21"/>
                <w:lang w:val="en-US" w:eastAsia="zh-CN"/>
              </w:rPr>
              <w:t>0</w:t>
            </w:r>
            <w:r>
              <w:rPr>
                <w:rFonts w:hint="default"/>
                <w:color w:val="auto"/>
                <w:sz w:val="21"/>
                <w:szCs w:val="21"/>
                <w:lang w:val="en-US" w:eastAsia="zh-CN"/>
              </w:rPr>
              <w:t>分=条款参数得分（得分按四舍五入保留两位小数）。本小项满分</w:t>
            </w:r>
            <w:r>
              <w:rPr>
                <w:rFonts w:hint="eastAsia"/>
                <w:color w:val="auto"/>
                <w:sz w:val="21"/>
                <w:szCs w:val="21"/>
                <w:lang w:val="en-US" w:eastAsia="zh-CN"/>
              </w:rPr>
              <w:t>10</w:t>
            </w:r>
            <w:r>
              <w:rPr>
                <w:rFonts w:hint="default"/>
                <w:color w:val="auto"/>
                <w:sz w:val="21"/>
                <w:szCs w:val="21"/>
                <w:lang w:val="en-US" w:eastAsia="zh-CN"/>
              </w:rPr>
              <w:t>分。</w:t>
            </w:r>
          </w:p>
        </w:tc>
        <w:tc>
          <w:tcPr>
            <w:tcW w:w="809" w:type="dxa"/>
            <w:noWrap w:val="0"/>
            <w:vAlign w:val="center"/>
          </w:tcPr>
          <w:p w14:paraId="26EC8B94">
            <w:pPr>
              <w:pStyle w:val="13"/>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10分</w:t>
            </w:r>
          </w:p>
        </w:tc>
      </w:tr>
      <w:tr w14:paraId="1588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16" w:type="dxa"/>
            <w:vMerge w:val="continue"/>
            <w:noWrap w:val="0"/>
            <w:vAlign w:val="center"/>
          </w:tcPr>
          <w:p w14:paraId="44B1EBD9">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noWrap w:val="0"/>
            <w:vAlign w:val="center"/>
          </w:tcPr>
          <w:p w14:paraId="188E639E">
            <w:pPr>
              <w:tabs>
                <w:tab w:val="decimal" w:pos="315"/>
                <w:tab w:val="left" w:pos="630"/>
              </w:tabs>
              <w:spacing w:line="276" w:lineRule="auto"/>
              <w:jc w:val="center"/>
              <w:rPr>
                <w:rFonts w:hint="eastAsia" w:ascii="宋体" w:hAnsi="宋体"/>
                <w:color w:val="auto"/>
                <w:szCs w:val="21"/>
                <w:highlight w:val="none"/>
              </w:rPr>
            </w:pPr>
            <w:r>
              <w:rPr>
                <w:rFonts w:hint="eastAsia"/>
                <w:color w:val="auto"/>
                <w:lang w:val="en-US"/>
              </w:rPr>
              <w:t>对项目的理解</w:t>
            </w:r>
          </w:p>
        </w:tc>
        <w:tc>
          <w:tcPr>
            <w:tcW w:w="6443" w:type="dxa"/>
            <w:noWrap w:val="0"/>
            <w:vAlign w:val="center"/>
          </w:tcPr>
          <w:p w14:paraId="77F52E3A">
            <w:pPr>
              <w:rPr>
                <w:rFonts w:hint="eastAsia" w:eastAsia="宋体"/>
                <w:color w:val="auto"/>
                <w:sz w:val="21"/>
                <w:szCs w:val="21"/>
                <w:lang w:val="en-US" w:eastAsia="zh-CN"/>
              </w:rPr>
            </w:pPr>
            <w:r>
              <w:rPr>
                <w:rFonts w:hint="eastAsia"/>
                <w:color w:val="auto"/>
                <w:sz w:val="21"/>
                <w:szCs w:val="21"/>
                <w:lang w:val="en-US"/>
              </w:rPr>
              <w:t>比较各</w:t>
            </w:r>
            <w:r>
              <w:rPr>
                <w:rFonts w:hint="eastAsia"/>
                <w:color w:val="auto"/>
                <w:sz w:val="21"/>
                <w:szCs w:val="21"/>
                <w:lang w:val="en-US" w:eastAsia="zh-CN"/>
              </w:rPr>
              <w:t>供应商</w:t>
            </w:r>
            <w:r>
              <w:rPr>
                <w:rFonts w:hint="eastAsia"/>
                <w:color w:val="auto"/>
                <w:sz w:val="21"/>
                <w:szCs w:val="21"/>
                <w:lang w:val="en-US"/>
              </w:rPr>
              <w:t>对项目的全面理解、熟悉程度</w:t>
            </w:r>
            <w:r>
              <w:rPr>
                <w:rFonts w:hint="eastAsia"/>
                <w:color w:val="auto"/>
                <w:sz w:val="21"/>
                <w:szCs w:val="21"/>
                <w:lang w:val="en-US" w:eastAsia="zh-CN"/>
              </w:rPr>
              <w:t>，根据提供的说明</w:t>
            </w:r>
            <w:r>
              <w:rPr>
                <w:rFonts w:hint="eastAsia"/>
                <w:color w:val="auto"/>
                <w:sz w:val="21"/>
                <w:szCs w:val="21"/>
                <w:lang w:val="en-US"/>
              </w:rPr>
              <w:t>（包括但不限于对本项目的理解、项目背景、目</w:t>
            </w:r>
            <w:bookmarkStart w:id="1" w:name="_GoBack"/>
            <w:bookmarkEnd w:id="1"/>
            <w:r>
              <w:rPr>
                <w:rFonts w:hint="eastAsia"/>
                <w:color w:val="auto"/>
                <w:sz w:val="21"/>
                <w:szCs w:val="21"/>
                <w:lang w:val="en-US"/>
              </w:rPr>
              <w:t>标、内容的把握等）</w:t>
            </w:r>
            <w:r>
              <w:rPr>
                <w:rFonts w:hint="eastAsia"/>
                <w:color w:val="auto"/>
                <w:sz w:val="21"/>
                <w:szCs w:val="21"/>
                <w:lang w:val="en-US" w:eastAsia="zh-CN"/>
              </w:rPr>
              <w:t>进行评审：</w:t>
            </w:r>
          </w:p>
          <w:p w14:paraId="6E14292F">
            <w:pPr>
              <w:rPr>
                <w:rFonts w:hint="eastAsia"/>
                <w:color w:val="auto"/>
                <w:sz w:val="21"/>
                <w:szCs w:val="21"/>
                <w:lang w:val="en-US"/>
              </w:rPr>
            </w:pPr>
            <w:r>
              <w:rPr>
                <w:rFonts w:hint="default" w:ascii="宋体" w:hAnsi="宋体" w:eastAsia="宋体" w:cs="宋体"/>
                <w:color w:val="auto"/>
                <w:sz w:val="21"/>
                <w:szCs w:val="21"/>
                <w:lang w:val="en-US" w:eastAsia="zh-CN"/>
              </w:rPr>
              <w:t>①</w:t>
            </w:r>
            <w:r>
              <w:rPr>
                <w:rFonts w:hint="eastAsia"/>
                <w:color w:val="auto"/>
                <w:sz w:val="21"/>
                <w:szCs w:val="21"/>
                <w:lang w:val="en-US"/>
              </w:rPr>
              <w:t>对项目理解全面，熟悉度高，内容准确：1</w:t>
            </w:r>
            <w:r>
              <w:rPr>
                <w:rFonts w:hint="eastAsia"/>
                <w:color w:val="auto"/>
                <w:sz w:val="21"/>
                <w:szCs w:val="21"/>
                <w:lang w:val="en-US" w:eastAsia="zh-CN"/>
              </w:rPr>
              <w:t>5</w:t>
            </w:r>
            <w:r>
              <w:rPr>
                <w:rFonts w:hint="eastAsia"/>
                <w:color w:val="auto"/>
                <w:sz w:val="21"/>
                <w:szCs w:val="21"/>
                <w:lang w:val="en-US"/>
              </w:rPr>
              <w:t xml:space="preserve"> 分；</w:t>
            </w:r>
          </w:p>
          <w:p w14:paraId="059F7D91">
            <w:pPr>
              <w:rPr>
                <w:rFonts w:hint="eastAsia"/>
                <w:color w:val="auto"/>
                <w:sz w:val="21"/>
                <w:szCs w:val="21"/>
                <w:lang w:val="en-US"/>
              </w:rPr>
            </w:pPr>
            <w:r>
              <w:rPr>
                <w:rFonts w:hint="default" w:ascii="宋体" w:hAnsi="宋体" w:eastAsia="宋体" w:cs="宋体"/>
                <w:color w:val="auto"/>
                <w:sz w:val="21"/>
                <w:szCs w:val="21"/>
                <w:lang w:val="en-US" w:eastAsia="zh-CN"/>
              </w:rPr>
              <w:t>②</w:t>
            </w:r>
            <w:r>
              <w:rPr>
                <w:rFonts w:hint="eastAsia"/>
                <w:color w:val="auto"/>
                <w:sz w:val="21"/>
                <w:szCs w:val="21"/>
                <w:lang w:val="en-US"/>
              </w:rPr>
              <w:t>对项目理解相对全面，熟悉度相对较高，内容准确：</w:t>
            </w:r>
            <w:r>
              <w:rPr>
                <w:rFonts w:hint="eastAsia"/>
                <w:color w:val="auto"/>
                <w:sz w:val="21"/>
                <w:szCs w:val="21"/>
                <w:lang w:val="en-US" w:eastAsia="zh-CN"/>
              </w:rPr>
              <w:t>11</w:t>
            </w:r>
            <w:r>
              <w:rPr>
                <w:rFonts w:hint="eastAsia"/>
                <w:color w:val="auto"/>
                <w:sz w:val="21"/>
                <w:szCs w:val="21"/>
                <w:lang w:val="en-US"/>
              </w:rPr>
              <w:t>分；</w:t>
            </w:r>
          </w:p>
          <w:p w14:paraId="4136A815">
            <w:pPr>
              <w:rPr>
                <w:rFonts w:hint="eastAsia"/>
                <w:color w:val="auto"/>
                <w:sz w:val="21"/>
                <w:szCs w:val="21"/>
                <w:lang w:val="en-US"/>
              </w:rPr>
            </w:pPr>
            <w:r>
              <w:rPr>
                <w:rFonts w:hint="default" w:ascii="宋体" w:hAnsi="宋体" w:eastAsia="宋体" w:cs="宋体"/>
                <w:color w:val="auto"/>
                <w:sz w:val="21"/>
                <w:szCs w:val="21"/>
                <w:lang w:val="en-US" w:eastAsia="zh-CN"/>
              </w:rPr>
              <w:t>③</w:t>
            </w:r>
            <w:r>
              <w:rPr>
                <w:rFonts w:hint="eastAsia"/>
                <w:color w:val="auto"/>
                <w:sz w:val="21"/>
                <w:szCs w:val="21"/>
                <w:lang w:val="en-US"/>
              </w:rPr>
              <w:t>对项目理解比较全面，熟悉度相一般，内容基本准确：</w:t>
            </w:r>
            <w:r>
              <w:rPr>
                <w:rFonts w:hint="eastAsia"/>
                <w:color w:val="auto"/>
                <w:sz w:val="21"/>
                <w:szCs w:val="21"/>
                <w:lang w:val="en-US" w:eastAsia="zh-CN"/>
              </w:rPr>
              <w:t>7</w:t>
            </w:r>
            <w:r>
              <w:rPr>
                <w:rFonts w:hint="eastAsia"/>
                <w:color w:val="auto"/>
                <w:sz w:val="21"/>
                <w:szCs w:val="21"/>
                <w:lang w:val="en-US"/>
              </w:rPr>
              <w:t xml:space="preserve"> 分；</w:t>
            </w:r>
          </w:p>
          <w:p w14:paraId="75900837">
            <w:pPr>
              <w:rPr>
                <w:rFonts w:hint="eastAsia"/>
                <w:color w:val="auto"/>
                <w:sz w:val="21"/>
                <w:szCs w:val="21"/>
                <w:lang w:val="en-US"/>
              </w:rPr>
            </w:pPr>
            <w:r>
              <w:rPr>
                <w:rFonts w:hint="eastAsia" w:ascii="宋体" w:hAnsi="宋体" w:eastAsia="宋体" w:cs="宋体"/>
                <w:color w:val="auto"/>
                <w:sz w:val="21"/>
                <w:szCs w:val="21"/>
                <w:lang w:val="en-US" w:eastAsia="zh-CN"/>
              </w:rPr>
              <w:t>④</w:t>
            </w:r>
            <w:r>
              <w:rPr>
                <w:rFonts w:hint="eastAsia"/>
                <w:color w:val="auto"/>
                <w:sz w:val="21"/>
                <w:szCs w:val="21"/>
                <w:lang w:val="en-US"/>
              </w:rPr>
              <w:t>对项目理解不全面，熟悉度较低，内容准确度较差：</w:t>
            </w:r>
            <w:r>
              <w:rPr>
                <w:rFonts w:hint="eastAsia"/>
                <w:color w:val="auto"/>
                <w:sz w:val="21"/>
                <w:szCs w:val="21"/>
                <w:lang w:val="en-US" w:eastAsia="zh-CN"/>
              </w:rPr>
              <w:t>3</w:t>
            </w:r>
            <w:r>
              <w:rPr>
                <w:rFonts w:hint="eastAsia"/>
                <w:color w:val="auto"/>
                <w:sz w:val="21"/>
                <w:szCs w:val="21"/>
                <w:lang w:val="en-US"/>
              </w:rPr>
              <w:t>分；</w:t>
            </w:r>
          </w:p>
          <w:p w14:paraId="067DCA4D">
            <w:pPr>
              <w:tabs>
                <w:tab w:val="decimal" w:pos="315"/>
                <w:tab w:val="left" w:pos="630"/>
              </w:tabs>
              <w:spacing w:line="276" w:lineRule="auto"/>
              <w:rPr>
                <w:rFonts w:hint="eastAsia" w:ascii="宋体" w:hAnsi="宋体" w:cs="宋体"/>
                <w:b/>
                <w:bCs w:val="0"/>
                <w:color w:val="auto"/>
                <w:highlight w:val="yellow"/>
                <w:lang w:val="zh-CN"/>
              </w:rPr>
            </w:pPr>
            <w:r>
              <w:rPr>
                <w:rFonts w:hint="eastAsia"/>
                <w:color w:val="auto"/>
                <w:sz w:val="21"/>
                <w:szCs w:val="21"/>
                <w:lang w:val="en-US"/>
              </w:rPr>
              <w:t>无提供不得分。</w:t>
            </w:r>
          </w:p>
        </w:tc>
        <w:tc>
          <w:tcPr>
            <w:tcW w:w="809" w:type="dxa"/>
            <w:noWrap w:val="0"/>
            <w:vAlign w:val="center"/>
          </w:tcPr>
          <w:p w14:paraId="74836F15">
            <w:pPr>
              <w:tabs>
                <w:tab w:val="decimal" w:pos="315"/>
                <w:tab w:val="left" w:pos="630"/>
              </w:tabs>
              <w:spacing w:line="276" w:lineRule="auto"/>
              <w:jc w:val="center"/>
              <w:rPr>
                <w:rFonts w:hint="default" w:ascii="宋体" w:hAnsi="宋体"/>
                <w:color w:val="auto"/>
                <w:sz w:val="21"/>
                <w:szCs w:val="21"/>
                <w:highlight w:val="none"/>
                <w:lang w:val="en-US" w:eastAsia="zh-CN"/>
              </w:rPr>
            </w:pPr>
            <w:r>
              <w:rPr>
                <w:rFonts w:hint="eastAsia" w:ascii="Times New Roman" w:hAnsi="Times New Roman" w:eastAsia="宋体" w:cs="Times New Roman"/>
                <w:lang w:val="en-US" w:eastAsia="zh-CN"/>
              </w:rPr>
              <w:t>1</w:t>
            </w:r>
            <w:r>
              <w:rPr>
                <w:rFonts w:hint="eastAsia" w:cs="Times New Roman"/>
                <w:lang w:val="en-US" w:eastAsia="zh-CN"/>
              </w:rPr>
              <w:t>5</w:t>
            </w:r>
            <w:r>
              <w:rPr>
                <w:rFonts w:hint="eastAsia" w:ascii="宋体" w:hAnsi="宋体"/>
                <w:color w:val="auto"/>
                <w:sz w:val="21"/>
                <w:szCs w:val="21"/>
                <w:highlight w:val="none"/>
                <w:lang w:val="en-US" w:eastAsia="zh-CN"/>
              </w:rPr>
              <w:t>分</w:t>
            </w:r>
          </w:p>
        </w:tc>
      </w:tr>
      <w:tr w14:paraId="2E40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6" w:type="dxa"/>
            <w:vMerge w:val="continue"/>
            <w:noWrap w:val="0"/>
            <w:vAlign w:val="center"/>
          </w:tcPr>
          <w:p w14:paraId="205014AA">
            <w:pPr>
              <w:widowControl/>
              <w:spacing w:line="360" w:lineRule="auto"/>
              <w:jc w:val="center"/>
              <w:rPr>
                <w:rFonts w:hint="eastAsia" w:ascii="宋体" w:hAnsi="宋体" w:eastAsia="宋体" w:cs="宋体"/>
                <w:color w:val="auto"/>
                <w:spacing w:val="15"/>
                <w:kern w:val="0"/>
                <w:szCs w:val="21"/>
                <w:shd w:val="clear" w:color="auto" w:fill="FFFFFF"/>
                <w:lang w:eastAsia="zh-CN"/>
              </w:rPr>
            </w:pPr>
          </w:p>
        </w:tc>
        <w:tc>
          <w:tcPr>
            <w:tcW w:w="1087" w:type="dxa"/>
            <w:noWrap w:val="0"/>
            <w:vAlign w:val="center"/>
          </w:tcPr>
          <w:p w14:paraId="15541157">
            <w:pPr>
              <w:jc w:val="center"/>
              <w:rPr>
                <w:rFonts w:ascii="宋体" w:hAnsi="宋体"/>
                <w:color w:val="auto"/>
                <w:szCs w:val="21"/>
              </w:rPr>
            </w:pPr>
            <w:r>
              <w:rPr>
                <w:rFonts w:hint="eastAsia" w:ascii="宋体" w:hAnsi="宋体" w:eastAsia="宋体" w:cs="宋体"/>
                <w:color w:val="000000"/>
                <w:sz w:val="21"/>
                <w:szCs w:val="21"/>
              </w:rPr>
              <w:t>对重点难点分析及对策</w:t>
            </w:r>
          </w:p>
        </w:tc>
        <w:tc>
          <w:tcPr>
            <w:tcW w:w="6443" w:type="dxa"/>
            <w:noWrap w:val="0"/>
            <w:vAlign w:val="center"/>
          </w:tcPr>
          <w:p w14:paraId="2AEF2B08">
            <w:pPr>
              <w:rPr>
                <w:rFonts w:hint="eastAsia"/>
                <w:color w:val="auto"/>
                <w:sz w:val="21"/>
                <w:szCs w:val="21"/>
                <w:lang w:val="en-US" w:eastAsia="zh-CN"/>
              </w:rPr>
            </w:pPr>
            <w:r>
              <w:rPr>
                <w:rFonts w:hint="eastAsia"/>
                <w:color w:val="auto"/>
                <w:sz w:val="21"/>
                <w:szCs w:val="21"/>
                <w:lang w:val="en-US" w:eastAsia="zh-CN"/>
              </w:rPr>
              <w:t>比较各供应商对本项目重点、难点的分析及应对措施建议的全面化、合理性、可行性等：</w:t>
            </w:r>
          </w:p>
          <w:p w14:paraId="0C71E2CB">
            <w:pPr>
              <w:rPr>
                <w:rFonts w:hint="eastAsia"/>
                <w:color w:val="auto"/>
                <w:sz w:val="21"/>
                <w:szCs w:val="21"/>
                <w:lang w:val="en-US" w:eastAsia="zh-CN"/>
              </w:rPr>
            </w:pPr>
            <w:r>
              <w:rPr>
                <w:rFonts w:hint="default"/>
                <w:color w:val="auto"/>
                <w:sz w:val="21"/>
                <w:szCs w:val="21"/>
                <w:lang w:val="en-US" w:eastAsia="zh-CN"/>
              </w:rPr>
              <w:t>①</w:t>
            </w:r>
            <w:r>
              <w:rPr>
                <w:rFonts w:hint="eastAsia"/>
                <w:color w:val="auto"/>
                <w:sz w:val="21"/>
                <w:szCs w:val="21"/>
                <w:lang w:val="en-US" w:eastAsia="zh-CN"/>
              </w:rPr>
              <w:t>重难点分析全面，应对措施建议全面合理，可行性高：15 分；</w:t>
            </w:r>
          </w:p>
          <w:p w14:paraId="6D020D99">
            <w:pPr>
              <w:rPr>
                <w:rFonts w:hint="eastAsia"/>
                <w:color w:val="auto"/>
                <w:sz w:val="21"/>
                <w:szCs w:val="21"/>
                <w:lang w:val="en-US" w:eastAsia="zh-CN"/>
              </w:rPr>
            </w:pPr>
            <w:r>
              <w:rPr>
                <w:rFonts w:hint="default"/>
                <w:color w:val="auto"/>
                <w:sz w:val="21"/>
                <w:szCs w:val="21"/>
                <w:lang w:val="en-US" w:eastAsia="zh-CN"/>
              </w:rPr>
              <w:t>②</w:t>
            </w:r>
            <w:r>
              <w:rPr>
                <w:rFonts w:hint="eastAsia"/>
                <w:color w:val="auto"/>
                <w:sz w:val="21"/>
                <w:szCs w:val="21"/>
                <w:lang w:val="en-US" w:eastAsia="zh-CN"/>
              </w:rPr>
              <w:t>重难点分析相对全面，应对措施建议比较全面合理，可行性较高：11 分；</w:t>
            </w:r>
          </w:p>
          <w:p w14:paraId="78A2E25D">
            <w:pPr>
              <w:rPr>
                <w:rFonts w:hint="eastAsia"/>
                <w:color w:val="auto"/>
                <w:sz w:val="21"/>
                <w:szCs w:val="21"/>
                <w:lang w:val="en-US" w:eastAsia="zh-CN"/>
              </w:rPr>
            </w:pPr>
            <w:r>
              <w:rPr>
                <w:rFonts w:hint="default"/>
                <w:color w:val="auto"/>
                <w:sz w:val="21"/>
                <w:szCs w:val="21"/>
                <w:lang w:val="en-US" w:eastAsia="zh-CN"/>
              </w:rPr>
              <w:t>③</w:t>
            </w:r>
            <w:r>
              <w:rPr>
                <w:rFonts w:hint="eastAsia"/>
                <w:color w:val="auto"/>
                <w:sz w:val="21"/>
                <w:szCs w:val="21"/>
                <w:lang w:val="en-US" w:eastAsia="zh-CN"/>
              </w:rPr>
              <w:t>重难点分析较全面，应对措施建议不太全面合理，可行性不高：7 分；</w:t>
            </w:r>
          </w:p>
          <w:p w14:paraId="3EEF8FC9">
            <w:pPr>
              <w:rPr>
                <w:rFonts w:hint="eastAsia"/>
                <w:color w:val="auto"/>
                <w:sz w:val="21"/>
                <w:szCs w:val="21"/>
                <w:lang w:val="en-US" w:eastAsia="zh-CN"/>
              </w:rPr>
            </w:pPr>
            <w:r>
              <w:rPr>
                <w:rFonts w:hint="eastAsia"/>
                <w:color w:val="auto"/>
                <w:sz w:val="21"/>
                <w:szCs w:val="21"/>
                <w:lang w:val="en-US" w:eastAsia="zh-CN"/>
              </w:rPr>
              <w:t>④重难点分析不全面，应对措施建议相对不全面合理，可行性低：3 分；</w:t>
            </w:r>
          </w:p>
          <w:p w14:paraId="7247EF7B">
            <w:pPr>
              <w:rPr>
                <w:rFonts w:hint="eastAsia"/>
                <w:color w:val="auto"/>
                <w:sz w:val="21"/>
                <w:szCs w:val="21"/>
                <w:lang w:val="en-US" w:eastAsia="zh-CN"/>
              </w:rPr>
            </w:pPr>
            <w:r>
              <w:rPr>
                <w:rFonts w:hint="eastAsia"/>
                <w:color w:val="auto"/>
                <w:sz w:val="21"/>
                <w:szCs w:val="21"/>
                <w:lang w:val="en-US" w:eastAsia="zh-CN"/>
              </w:rPr>
              <w:t>无提供不得分。</w:t>
            </w:r>
          </w:p>
        </w:tc>
        <w:tc>
          <w:tcPr>
            <w:tcW w:w="809" w:type="dxa"/>
            <w:noWrap w:val="0"/>
            <w:vAlign w:val="center"/>
          </w:tcPr>
          <w:p w14:paraId="08697F45">
            <w:pPr>
              <w:tabs>
                <w:tab w:val="decimal" w:pos="315"/>
                <w:tab w:val="left" w:pos="630"/>
              </w:tabs>
              <w:spacing w:line="276" w:lineRule="auto"/>
              <w:jc w:val="center"/>
              <w:rPr>
                <w:rFonts w:ascii="宋体" w:hAnsi="宋体" w:cs="宋体"/>
                <w:color w:val="auto"/>
              </w:rPr>
            </w:pPr>
            <w:r>
              <w:rPr>
                <w:rFonts w:hint="eastAsia"/>
                <w:lang w:val="en-US" w:eastAsia="zh-CN"/>
              </w:rPr>
              <w:t>15分</w:t>
            </w:r>
          </w:p>
        </w:tc>
      </w:tr>
      <w:tr w14:paraId="5790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16" w:type="dxa"/>
            <w:vMerge w:val="continue"/>
            <w:noWrap w:val="0"/>
            <w:vAlign w:val="center"/>
          </w:tcPr>
          <w:p w14:paraId="2C6F94BD">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noWrap w:val="0"/>
            <w:vAlign w:val="center"/>
          </w:tcPr>
          <w:p w14:paraId="333CA7AB">
            <w:pPr>
              <w:tabs>
                <w:tab w:val="decimal" w:pos="315"/>
                <w:tab w:val="left" w:pos="630"/>
              </w:tabs>
              <w:spacing w:line="276" w:lineRule="auto"/>
              <w:jc w:val="center"/>
              <w:rPr>
                <w:rFonts w:hint="default" w:eastAsia="宋体"/>
                <w:color w:val="auto"/>
                <w:lang w:val="en-US" w:eastAsia="zh-CN"/>
              </w:rPr>
            </w:pPr>
            <w:r>
              <w:rPr>
                <w:rFonts w:hint="eastAsia"/>
                <w:lang w:val="en-US"/>
              </w:rPr>
              <w:t>服务方案</w:t>
            </w:r>
          </w:p>
        </w:tc>
        <w:tc>
          <w:tcPr>
            <w:tcW w:w="6443" w:type="dxa"/>
            <w:noWrap w:val="0"/>
            <w:vAlign w:val="center"/>
          </w:tcPr>
          <w:p w14:paraId="3D10B10D">
            <w:pPr>
              <w:rPr>
                <w:rFonts w:hint="eastAsia"/>
                <w:color w:val="auto"/>
                <w:sz w:val="21"/>
                <w:szCs w:val="21"/>
                <w:lang w:val="en-US" w:eastAsia="zh-CN"/>
              </w:rPr>
            </w:pPr>
            <w:r>
              <w:rPr>
                <w:rFonts w:hint="eastAsia"/>
                <w:color w:val="auto"/>
                <w:sz w:val="21"/>
                <w:szCs w:val="21"/>
                <w:lang w:val="en-US" w:eastAsia="zh-CN"/>
              </w:rPr>
              <w:t>1.比较各供应商提供的针对本项目的实施方案及具体措施（评估及数据采集方法须多样化。每种方法应设置详细指标，指标具体、内容明晰）的可行性、合理性、有效性、逻辑性、科学性等：</w:t>
            </w:r>
          </w:p>
          <w:p w14:paraId="7054AEC6">
            <w:pPr>
              <w:rPr>
                <w:rFonts w:hint="eastAsia"/>
                <w:color w:val="auto"/>
                <w:sz w:val="21"/>
                <w:szCs w:val="21"/>
                <w:lang w:val="en-US" w:eastAsia="zh-CN"/>
              </w:rPr>
            </w:pPr>
            <w:r>
              <w:rPr>
                <w:rFonts w:hint="default"/>
                <w:color w:val="auto"/>
                <w:sz w:val="21"/>
                <w:szCs w:val="21"/>
                <w:lang w:val="en-US" w:eastAsia="zh-CN"/>
              </w:rPr>
              <w:t>①</w:t>
            </w:r>
            <w:r>
              <w:rPr>
                <w:rFonts w:hint="eastAsia"/>
                <w:color w:val="auto"/>
                <w:sz w:val="21"/>
                <w:szCs w:val="21"/>
                <w:lang w:val="en-US" w:eastAsia="zh-CN"/>
              </w:rPr>
              <w:t>实施方案可行度高，可行性强，合理，有逻辑：10 分；</w:t>
            </w:r>
          </w:p>
          <w:p w14:paraId="350894E6">
            <w:pPr>
              <w:rPr>
                <w:rFonts w:hint="eastAsia"/>
                <w:color w:val="auto"/>
                <w:sz w:val="21"/>
                <w:szCs w:val="21"/>
                <w:lang w:val="en-US" w:eastAsia="zh-CN"/>
              </w:rPr>
            </w:pPr>
            <w:r>
              <w:rPr>
                <w:rFonts w:hint="default"/>
                <w:color w:val="auto"/>
                <w:sz w:val="21"/>
                <w:szCs w:val="21"/>
                <w:lang w:val="en-US" w:eastAsia="zh-CN"/>
              </w:rPr>
              <w:t>②</w:t>
            </w:r>
            <w:r>
              <w:rPr>
                <w:rFonts w:hint="eastAsia"/>
                <w:color w:val="auto"/>
                <w:sz w:val="21"/>
                <w:szCs w:val="21"/>
                <w:lang w:val="en-US" w:eastAsia="zh-CN"/>
              </w:rPr>
              <w:t>实施方案可行度比较高，可行性较强，相对合理，有逻辑：6分；</w:t>
            </w:r>
          </w:p>
          <w:p w14:paraId="1F71D545">
            <w:pPr>
              <w:rPr>
                <w:rFonts w:hint="eastAsia"/>
                <w:color w:val="auto"/>
                <w:sz w:val="21"/>
                <w:szCs w:val="21"/>
                <w:lang w:val="en-US" w:eastAsia="zh-CN"/>
              </w:rPr>
            </w:pPr>
            <w:r>
              <w:rPr>
                <w:rFonts w:hint="default"/>
                <w:color w:val="auto"/>
                <w:sz w:val="21"/>
                <w:szCs w:val="21"/>
                <w:lang w:val="en-US" w:eastAsia="zh-CN"/>
              </w:rPr>
              <w:t>③</w:t>
            </w:r>
            <w:r>
              <w:rPr>
                <w:rFonts w:hint="eastAsia"/>
                <w:color w:val="auto"/>
                <w:sz w:val="21"/>
                <w:szCs w:val="21"/>
                <w:lang w:val="en-US" w:eastAsia="zh-CN"/>
              </w:rPr>
              <w:t>实施方案可行度低，可行性不强，逻辑性差：2 分；</w:t>
            </w:r>
          </w:p>
          <w:p w14:paraId="1218CF2A">
            <w:pPr>
              <w:rPr>
                <w:rFonts w:hint="eastAsia"/>
                <w:color w:val="auto"/>
                <w:sz w:val="21"/>
                <w:szCs w:val="21"/>
                <w:lang w:val="en-US" w:eastAsia="zh-CN"/>
              </w:rPr>
            </w:pPr>
            <w:r>
              <w:rPr>
                <w:rFonts w:hint="eastAsia"/>
                <w:color w:val="auto"/>
                <w:sz w:val="21"/>
                <w:szCs w:val="21"/>
                <w:lang w:val="en-US" w:eastAsia="zh-CN"/>
              </w:rPr>
              <w:t>无提供不得分。</w:t>
            </w:r>
          </w:p>
          <w:p w14:paraId="6F98B6FC">
            <w:pPr>
              <w:rPr>
                <w:rFonts w:hint="eastAsia"/>
                <w:color w:val="auto"/>
                <w:sz w:val="21"/>
                <w:szCs w:val="21"/>
                <w:lang w:val="en-US"/>
              </w:rPr>
            </w:pPr>
            <w:r>
              <w:rPr>
                <w:rFonts w:hint="eastAsia"/>
                <w:color w:val="auto"/>
                <w:sz w:val="21"/>
                <w:szCs w:val="21"/>
                <w:lang w:val="en-US" w:eastAsia="zh-CN"/>
              </w:rPr>
              <w:t xml:space="preserve">2.比较各供应商提供的各项工作时间计划表、各环节时间安排的合理性进行综合对比： </w:t>
            </w:r>
          </w:p>
          <w:p w14:paraId="193518CD">
            <w:pPr>
              <w:rPr>
                <w:rFonts w:hint="eastAsia"/>
                <w:color w:val="auto"/>
                <w:sz w:val="21"/>
                <w:szCs w:val="21"/>
                <w:lang w:val="en-US"/>
              </w:rPr>
            </w:pPr>
            <w:r>
              <w:rPr>
                <w:rFonts w:hint="default"/>
                <w:color w:val="auto"/>
                <w:sz w:val="21"/>
                <w:szCs w:val="21"/>
                <w:lang w:val="en-US" w:eastAsia="zh-CN"/>
              </w:rPr>
              <w:t>①</w:t>
            </w:r>
            <w:r>
              <w:rPr>
                <w:rFonts w:hint="eastAsia"/>
                <w:color w:val="auto"/>
                <w:sz w:val="21"/>
                <w:szCs w:val="21"/>
                <w:lang w:val="en-US" w:eastAsia="zh-CN"/>
              </w:rPr>
              <w:t xml:space="preserve">各项工作时间计划表、各环节时间安排合理：10 分； </w:t>
            </w:r>
          </w:p>
          <w:p w14:paraId="5798072A">
            <w:pPr>
              <w:rPr>
                <w:rFonts w:hint="eastAsia"/>
                <w:color w:val="auto"/>
                <w:sz w:val="21"/>
                <w:szCs w:val="21"/>
                <w:lang w:val="en-US"/>
              </w:rPr>
            </w:pPr>
            <w:r>
              <w:rPr>
                <w:rFonts w:hint="default"/>
                <w:color w:val="auto"/>
                <w:sz w:val="21"/>
                <w:szCs w:val="21"/>
                <w:lang w:val="en-US" w:eastAsia="zh-CN"/>
              </w:rPr>
              <w:t>②</w:t>
            </w:r>
            <w:r>
              <w:rPr>
                <w:rFonts w:hint="eastAsia"/>
                <w:color w:val="auto"/>
                <w:sz w:val="21"/>
                <w:szCs w:val="21"/>
                <w:lang w:val="en-US" w:eastAsia="zh-CN"/>
              </w:rPr>
              <w:t xml:space="preserve">各项工作时间计划表、各环节时间安排相对合理：6 分； </w:t>
            </w:r>
          </w:p>
          <w:p w14:paraId="02FBC7DB">
            <w:pPr>
              <w:rPr>
                <w:rFonts w:hint="eastAsia"/>
                <w:color w:val="auto"/>
                <w:sz w:val="21"/>
                <w:szCs w:val="21"/>
                <w:lang w:val="en-US"/>
              </w:rPr>
            </w:pPr>
            <w:r>
              <w:rPr>
                <w:rFonts w:hint="default"/>
                <w:color w:val="auto"/>
                <w:sz w:val="21"/>
                <w:szCs w:val="21"/>
                <w:lang w:val="en-US" w:eastAsia="zh-CN"/>
              </w:rPr>
              <w:t>③</w:t>
            </w:r>
            <w:r>
              <w:rPr>
                <w:rFonts w:hint="eastAsia"/>
                <w:color w:val="auto"/>
                <w:sz w:val="21"/>
                <w:szCs w:val="21"/>
                <w:lang w:val="en-US" w:eastAsia="zh-CN"/>
              </w:rPr>
              <w:t xml:space="preserve">各项工作时间计划表、各环节时间安排相对不合理：2 分； </w:t>
            </w:r>
          </w:p>
          <w:p w14:paraId="668FCB26">
            <w:pPr>
              <w:rPr>
                <w:rFonts w:hint="default"/>
                <w:color w:val="auto"/>
                <w:sz w:val="21"/>
                <w:szCs w:val="21"/>
                <w:lang w:val="zh-CN"/>
              </w:rPr>
            </w:pPr>
            <w:r>
              <w:rPr>
                <w:rFonts w:hint="eastAsia"/>
                <w:color w:val="auto"/>
                <w:sz w:val="21"/>
                <w:szCs w:val="21"/>
                <w:lang w:val="en-US" w:eastAsia="zh-CN"/>
              </w:rPr>
              <w:t>无提供不得分</w:t>
            </w:r>
          </w:p>
        </w:tc>
        <w:tc>
          <w:tcPr>
            <w:tcW w:w="809" w:type="dxa"/>
            <w:noWrap w:val="0"/>
            <w:vAlign w:val="center"/>
          </w:tcPr>
          <w:p w14:paraId="225F2FFF">
            <w:pPr>
              <w:tabs>
                <w:tab w:val="decimal" w:pos="315"/>
                <w:tab w:val="left" w:pos="630"/>
              </w:tabs>
              <w:spacing w:line="276" w:lineRule="auto"/>
              <w:jc w:val="center"/>
              <w:rPr>
                <w:rFonts w:hint="default"/>
                <w:lang w:val="en-US" w:eastAsia="zh-CN"/>
              </w:rPr>
            </w:pPr>
            <w:r>
              <w:rPr>
                <w:rFonts w:hint="eastAsia"/>
                <w:lang w:val="en-US" w:eastAsia="zh-CN"/>
              </w:rPr>
              <w:t>20分</w:t>
            </w:r>
          </w:p>
        </w:tc>
      </w:tr>
      <w:tr w14:paraId="05CD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16" w:type="dxa"/>
            <w:vMerge w:val="continue"/>
            <w:noWrap w:val="0"/>
            <w:vAlign w:val="center"/>
          </w:tcPr>
          <w:p w14:paraId="6B957761">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noWrap w:val="0"/>
            <w:vAlign w:val="center"/>
          </w:tcPr>
          <w:p w14:paraId="07E1F5D1">
            <w:pPr>
              <w:tabs>
                <w:tab w:val="decimal" w:pos="315"/>
                <w:tab w:val="left" w:pos="630"/>
              </w:tabs>
              <w:spacing w:line="276" w:lineRule="auto"/>
              <w:jc w:val="center"/>
              <w:rPr>
                <w:rFonts w:hint="default" w:eastAsia="宋体"/>
                <w:color w:val="auto"/>
                <w:lang w:val="en-US" w:eastAsia="zh-CN"/>
              </w:rPr>
            </w:pPr>
            <w:r>
              <w:rPr>
                <w:rFonts w:hint="eastAsia" w:cs="宋体"/>
                <w:color w:val="000000"/>
                <w:sz w:val="21"/>
                <w:szCs w:val="21"/>
                <w:lang w:eastAsia="zh-CN" w:bidi="ar"/>
              </w:rPr>
              <w:t>调查</w:t>
            </w:r>
            <w:r>
              <w:rPr>
                <w:rFonts w:hint="eastAsia" w:ascii="宋体" w:hAnsi="宋体" w:eastAsia="宋体" w:cs="宋体"/>
                <w:color w:val="000000"/>
                <w:sz w:val="21"/>
                <w:szCs w:val="21"/>
                <w:lang w:bidi="ar"/>
              </w:rPr>
              <w:t>服务IT系统演示</w:t>
            </w:r>
          </w:p>
        </w:tc>
        <w:tc>
          <w:tcPr>
            <w:tcW w:w="6443" w:type="dxa"/>
            <w:noWrap w:val="0"/>
            <w:vAlign w:val="center"/>
          </w:tcPr>
          <w:p w14:paraId="0C6159E0">
            <w:pPr>
              <w:rPr>
                <w:rFonts w:hint="eastAsia"/>
                <w:color w:val="auto"/>
                <w:sz w:val="21"/>
                <w:szCs w:val="21"/>
                <w:lang w:val="en-US" w:eastAsia="zh-CN"/>
              </w:rPr>
            </w:pPr>
            <w:r>
              <w:rPr>
                <w:rFonts w:hint="eastAsia"/>
                <w:color w:val="auto"/>
                <w:sz w:val="21"/>
                <w:szCs w:val="21"/>
                <w:lang w:val="en-US" w:eastAsia="zh-CN"/>
              </w:rPr>
              <w:t>比较各报价人现场通过多媒体形式（如PPT)介绍IT系统的主要功能及讲解原理和方案演示</w:t>
            </w:r>
            <w:r>
              <w:rPr>
                <w:rFonts w:hint="eastAsia"/>
                <w:color w:val="auto"/>
                <w:sz w:val="21"/>
                <w:szCs w:val="21"/>
                <w:lang w:val="en-US"/>
              </w:rPr>
              <w:t>：</w:t>
            </w:r>
          </w:p>
          <w:p w14:paraId="458A5B29">
            <w:pPr>
              <w:rPr>
                <w:rFonts w:hint="eastAsia"/>
                <w:color w:val="auto"/>
                <w:sz w:val="21"/>
                <w:szCs w:val="21"/>
                <w:lang w:val="en-US"/>
              </w:rPr>
            </w:pPr>
            <w:r>
              <w:rPr>
                <w:rFonts w:hint="default"/>
                <w:color w:val="auto"/>
                <w:sz w:val="21"/>
                <w:szCs w:val="21"/>
                <w:lang w:val="en-US" w:eastAsia="zh-CN"/>
              </w:rPr>
              <w:t>①</w:t>
            </w:r>
            <w:r>
              <w:rPr>
                <w:rFonts w:hint="eastAsia"/>
                <w:color w:val="auto"/>
                <w:sz w:val="21"/>
                <w:szCs w:val="21"/>
                <w:lang w:val="en-US" w:eastAsia="zh-CN"/>
              </w:rPr>
              <w:t>.完全满足或优于采购人对本次项目的需求和要求，做到人机调查的延伸，确保调查数据的真实性和科学性，可操作性非常强，逻辑非常清晰，统计分析数据非常合理，得15分</w:t>
            </w:r>
            <w:r>
              <w:rPr>
                <w:rFonts w:hint="eastAsia"/>
                <w:color w:val="auto"/>
                <w:sz w:val="21"/>
                <w:szCs w:val="21"/>
                <w:lang w:val="en-US"/>
              </w:rPr>
              <w:t>；</w:t>
            </w:r>
          </w:p>
          <w:p w14:paraId="59C8AAAA">
            <w:pPr>
              <w:rPr>
                <w:rFonts w:hint="eastAsia"/>
                <w:color w:val="auto"/>
                <w:sz w:val="21"/>
                <w:szCs w:val="21"/>
                <w:lang w:val="en-US"/>
              </w:rPr>
            </w:pPr>
            <w:r>
              <w:rPr>
                <w:rFonts w:hint="default"/>
                <w:color w:val="auto"/>
                <w:sz w:val="21"/>
                <w:szCs w:val="21"/>
                <w:lang w:val="en-US" w:eastAsia="zh-CN"/>
              </w:rPr>
              <w:t>②</w:t>
            </w:r>
            <w:r>
              <w:rPr>
                <w:rFonts w:hint="eastAsia"/>
                <w:color w:val="auto"/>
                <w:sz w:val="21"/>
                <w:szCs w:val="21"/>
                <w:lang w:val="en-US" w:eastAsia="zh-CN"/>
              </w:rPr>
              <w:t>基本</w:t>
            </w:r>
            <w:r>
              <w:rPr>
                <w:rFonts w:hint="eastAsia"/>
                <w:color w:val="auto"/>
                <w:sz w:val="21"/>
                <w:szCs w:val="21"/>
                <w:lang w:val="en-US"/>
              </w:rPr>
              <w:t>满足采购人对本次项目的需求和要求，</w:t>
            </w:r>
            <w:r>
              <w:rPr>
                <w:rFonts w:hint="eastAsia"/>
                <w:color w:val="auto"/>
                <w:sz w:val="21"/>
                <w:szCs w:val="21"/>
                <w:lang w:val="en-US" w:eastAsia="zh-CN"/>
              </w:rPr>
              <w:t>基本</w:t>
            </w:r>
            <w:r>
              <w:rPr>
                <w:rFonts w:hint="eastAsia"/>
                <w:color w:val="auto"/>
                <w:sz w:val="21"/>
                <w:szCs w:val="21"/>
                <w:lang w:val="en-US"/>
              </w:rPr>
              <w:t>做到人机调查的延伸，</w:t>
            </w:r>
            <w:r>
              <w:rPr>
                <w:rFonts w:hint="eastAsia"/>
                <w:color w:val="auto"/>
                <w:sz w:val="21"/>
                <w:szCs w:val="21"/>
                <w:lang w:val="en-US" w:eastAsia="zh-CN"/>
              </w:rPr>
              <w:t>基本</w:t>
            </w:r>
            <w:r>
              <w:rPr>
                <w:rFonts w:hint="eastAsia"/>
                <w:color w:val="auto"/>
                <w:sz w:val="21"/>
                <w:szCs w:val="21"/>
                <w:lang w:val="en-US"/>
              </w:rPr>
              <w:t>确保调查数据的真实性和科学性，可操作性</w:t>
            </w:r>
            <w:r>
              <w:rPr>
                <w:rFonts w:hint="eastAsia"/>
                <w:color w:val="auto"/>
                <w:sz w:val="21"/>
                <w:szCs w:val="21"/>
                <w:lang w:val="en-US" w:eastAsia="zh-CN"/>
              </w:rPr>
              <w:t>比较</w:t>
            </w:r>
            <w:r>
              <w:rPr>
                <w:rFonts w:hint="eastAsia"/>
                <w:color w:val="auto"/>
                <w:sz w:val="21"/>
                <w:szCs w:val="21"/>
                <w:lang w:val="en-US"/>
              </w:rPr>
              <w:t>强，逻辑</w:t>
            </w:r>
            <w:r>
              <w:rPr>
                <w:rFonts w:hint="eastAsia"/>
                <w:color w:val="auto"/>
                <w:sz w:val="21"/>
                <w:szCs w:val="21"/>
                <w:lang w:val="en-US" w:eastAsia="zh-CN"/>
              </w:rPr>
              <w:t>比较</w:t>
            </w:r>
            <w:r>
              <w:rPr>
                <w:rFonts w:hint="eastAsia"/>
                <w:color w:val="auto"/>
                <w:sz w:val="21"/>
                <w:szCs w:val="21"/>
                <w:lang w:val="en-US"/>
              </w:rPr>
              <w:t>清晰，统计分析数据</w:t>
            </w:r>
            <w:r>
              <w:rPr>
                <w:rFonts w:hint="eastAsia"/>
                <w:color w:val="auto"/>
                <w:sz w:val="21"/>
                <w:szCs w:val="21"/>
                <w:lang w:val="en-US" w:eastAsia="zh-CN"/>
              </w:rPr>
              <w:t>比较</w:t>
            </w:r>
            <w:r>
              <w:rPr>
                <w:rFonts w:hint="eastAsia"/>
                <w:color w:val="auto"/>
                <w:sz w:val="21"/>
                <w:szCs w:val="21"/>
                <w:lang w:val="en-US"/>
              </w:rPr>
              <w:t>合理，得</w:t>
            </w:r>
            <w:r>
              <w:rPr>
                <w:rFonts w:hint="eastAsia"/>
                <w:color w:val="auto"/>
                <w:sz w:val="21"/>
                <w:szCs w:val="21"/>
                <w:lang w:val="en-US" w:eastAsia="zh-CN"/>
              </w:rPr>
              <w:t>11</w:t>
            </w:r>
            <w:r>
              <w:rPr>
                <w:rFonts w:hint="eastAsia"/>
                <w:color w:val="auto"/>
                <w:sz w:val="21"/>
                <w:szCs w:val="21"/>
                <w:lang w:val="en-US"/>
              </w:rPr>
              <w:t>分；</w:t>
            </w:r>
          </w:p>
          <w:p w14:paraId="6B28B2D5">
            <w:pPr>
              <w:rPr>
                <w:rFonts w:hint="eastAsia"/>
                <w:color w:val="auto"/>
                <w:sz w:val="21"/>
                <w:szCs w:val="21"/>
                <w:lang w:val="en-US" w:eastAsia="zh-CN"/>
              </w:rPr>
            </w:pPr>
            <w:r>
              <w:rPr>
                <w:rFonts w:hint="default"/>
                <w:color w:val="auto"/>
                <w:sz w:val="21"/>
                <w:szCs w:val="21"/>
                <w:lang w:val="en-US" w:eastAsia="zh-CN"/>
              </w:rPr>
              <w:t>③</w:t>
            </w:r>
            <w:r>
              <w:rPr>
                <w:rFonts w:hint="eastAsia"/>
                <w:color w:val="auto"/>
                <w:sz w:val="21"/>
                <w:szCs w:val="21"/>
                <w:lang w:val="en-US" w:eastAsia="zh-CN"/>
              </w:rPr>
              <w:t>勉强满足采购人对本次项目的需求和要求，勉强做到人机调查的延伸，调查数据的真实性和科学性一般，可操作性一般，逻辑一般清晰，统计分析数据一般合理，得7分</w:t>
            </w:r>
            <w:r>
              <w:rPr>
                <w:rFonts w:hint="eastAsia"/>
                <w:color w:val="auto"/>
                <w:sz w:val="21"/>
                <w:szCs w:val="21"/>
                <w:lang w:val="en-US"/>
              </w:rPr>
              <w:t>；</w:t>
            </w:r>
          </w:p>
          <w:p w14:paraId="2255E684">
            <w:pPr>
              <w:rPr>
                <w:rFonts w:hint="eastAsia"/>
                <w:color w:val="auto"/>
                <w:sz w:val="21"/>
                <w:szCs w:val="21"/>
                <w:lang w:val="en-US" w:eastAsia="zh-CN"/>
              </w:rPr>
            </w:pPr>
            <w:r>
              <w:rPr>
                <w:rFonts w:hint="eastAsia"/>
                <w:color w:val="auto"/>
                <w:sz w:val="21"/>
                <w:szCs w:val="21"/>
                <w:lang w:val="en-US" w:eastAsia="zh-CN"/>
              </w:rPr>
              <w:t>④不太满足采购人对本次项目的需求和要求，无法做到人机调查的延伸，调查数据的真实性和科学性无法确定，可操作性差，逻辑不清晰，统计分析数据不合理，得3分。</w:t>
            </w:r>
          </w:p>
          <w:p w14:paraId="68FE7F18">
            <w:pPr>
              <w:rPr>
                <w:rFonts w:hint="default"/>
                <w:color w:val="auto"/>
                <w:sz w:val="21"/>
                <w:szCs w:val="21"/>
                <w:lang w:val="zh-CN" w:eastAsia="zh-CN"/>
              </w:rPr>
            </w:pPr>
            <w:r>
              <w:rPr>
                <w:rFonts w:hint="eastAsia"/>
                <w:color w:val="auto"/>
                <w:sz w:val="21"/>
                <w:szCs w:val="21"/>
                <w:lang w:val="en-US" w:eastAsia="zh-CN"/>
              </w:rPr>
              <w:t>无进行调查服务IT系统演示不得分。</w:t>
            </w:r>
          </w:p>
        </w:tc>
        <w:tc>
          <w:tcPr>
            <w:tcW w:w="809" w:type="dxa"/>
            <w:noWrap w:val="0"/>
            <w:vAlign w:val="center"/>
          </w:tcPr>
          <w:p w14:paraId="6F471A32">
            <w:pPr>
              <w:tabs>
                <w:tab w:val="decimal" w:pos="315"/>
                <w:tab w:val="left" w:pos="630"/>
              </w:tabs>
              <w:spacing w:line="276" w:lineRule="auto"/>
              <w:jc w:val="center"/>
              <w:rPr>
                <w:rFonts w:hint="default"/>
                <w:lang w:val="en-US" w:eastAsia="zh-CN"/>
              </w:rPr>
            </w:pPr>
            <w:r>
              <w:rPr>
                <w:rFonts w:hint="eastAsia"/>
                <w:lang w:val="en-US" w:eastAsia="zh-CN"/>
              </w:rPr>
              <w:t>15分</w:t>
            </w:r>
          </w:p>
        </w:tc>
      </w:tr>
      <w:tr w14:paraId="5ED4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16" w:type="dxa"/>
            <w:noWrap w:val="0"/>
            <w:vAlign w:val="center"/>
          </w:tcPr>
          <w:p w14:paraId="27E23726">
            <w:pPr>
              <w:widowControl/>
              <w:spacing w:line="360" w:lineRule="auto"/>
              <w:jc w:val="center"/>
              <w:rPr>
                <w:rFonts w:hint="default" w:ascii="宋体" w:hAnsi="宋体" w:cs="宋体"/>
                <w:color w:val="auto"/>
                <w:spacing w:val="15"/>
                <w:kern w:val="0"/>
                <w:szCs w:val="21"/>
                <w:shd w:val="clear" w:color="auto" w:fill="FFFFFF"/>
                <w:lang w:val="en-US" w:eastAsia="zh-CN"/>
              </w:rPr>
            </w:pPr>
            <w:r>
              <w:rPr>
                <w:rFonts w:hint="eastAsia" w:ascii="宋体" w:hAnsi="宋体" w:cs="宋体"/>
                <w:b/>
                <w:bCs/>
                <w:color w:val="auto"/>
                <w:spacing w:val="15"/>
                <w:kern w:val="0"/>
                <w:szCs w:val="21"/>
                <w:shd w:val="clear" w:color="auto" w:fill="FFFFFF"/>
                <w:lang w:val="en-US" w:eastAsia="zh-CN"/>
              </w:rPr>
              <w:t>价格部分</w:t>
            </w:r>
          </w:p>
        </w:tc>
        <w:tc>
          <w:tcPr>
            <w:tcW w:w="1087" w:type="dxa"/>
            <w:noWrap w:val="0"/>
            <w:vAlign w:val="center"/>
          </w:tcPr>
          <w:p w14:paraId="4F9A4584">
            <w:pPr>
              <w:jc w:val="center"/>
              <w:rPr>
                <w:rFonts w:hint="eastAsia"/>
                <w:color w:val="auto"/>
                <w:szCs w:val="21"/>
                <w:highlight w:val="none"/>
              </w:rPr>
            </w:pPr>
            <w:r>
              <w:rPr>
                <w:rFonts w:hint="eastAsia" w:ascii="宋体" w:hAnsi="宋体" w:eastAsia="宋体" w:cs="宋体"/>
                <w:color w:val="auto"/>
                <w:szCs w:val="21"/>
              </w:rPr>
              <w:t>响应报价</w:t>
            </w:r>
          </w:p>
        </w:tc>
        <w:tc>
          <w:tcPr>
            <w:tcW w:w="6443" w:type="dxa"/>
            <w:noWrap w:val="0"/>
            <w:vAlign w:val="top"/>
          </w:tcPr>
          <w:p w14:paraId="42C9F010">
            <w:pPr>
              <w:rPr>
                <w:rFonts w:hint="eastAsia"/>
                <w:color w:val="auto"/>
                <w:sz w:val="21"/>
                <w:szCs w:val="21"/>
                <w:lang w:val="zh-CN"/>
              </w:rPr>
            </w:pPr>
            <w:r>
              <w:rPr>
                <w:rFonts w:hint="eastAsia"/>
                <w:color w:val="auto"/>
                <w:sz w:val="21"/>
                <w:szCs w:val="21"/>
                <w:lang w:val="zh-CN"/>
              </w:rPr>
              <w:t>响应报价得分＝（评审基准价/响应报价）×价格分值</w:t>
            </w:r>
          </w:p>
          <w:p w14:paraId="1C478E48">
            <w:pPr>
              <w:rPr>
                <w:rFonts w:hint="eastAsia"/>
                <w:color w:val="auto"/>
                <w:sz w:val="21"/>
                <w:szCs w:val="21"/>
                <w:lang w:val="en-US" w:eastAsia="zh-CN"/>
              </w:rPr>
            </w:pPr>
            <w:r>
              <w:rPr>
                <w:rFonts w:hint="eastAsia"/>
                <w:color w:val="auto"/>
                <w:sz w:val="21"/>
                <w:szCs w:val="21"/>
                <w:lang w:val="zh-CN"/>
              </w:rPr>
              <w:t>（注：满足采购文件要求且响应价格最低的响应报价为评审基准价。最低报价不是成交的唯一依据。）</w:t>
            </w:r>
          </w:p>
        </w:tc>
        <w:tc>
          <w:tcPr>
            <w:tcW w:w="809" w:type="dxa"/>
            <w:noWrap w:val="0"/>
            <w:vAlign w:val="center"/>
          </w:tcPr>
          <w:p w14:paraId="534C6514">
            <w:pPr>
              <w:spacing w:line="360" w:lineRule="auto"/>
              <w:jc w:val="center"/>
              <w:rPr>
                <w:rFonts w:hint="default" w:ascii="宋体" w:hAnsi="宋体" w:cs="宋体"/>
                <w:color w:val="auto"/>
                <w:szCs w:val="21"/>
                <w:highlight w:val="none"/>
                <w:lang w:val="en-US" w:eastAsia="zh-CN"/>
              </w:rPr>
            </w:pPr>
            <w:r>
              <w:rPr>
                <w:rFonts w:hint="eastAsia" w:cs="Times New Roman"/>
                <w:lang w:val="en-US" w:eastAsia="zh-CN"/>
              </w:rPr>
              <w:t>10</w:t>
            </w:r>
            <w:r>
              <w:rPr>
                <w:rFonts w:hint="eastAsia" w:ascii="宋体" w:hAnsi="宋体" w:cs="宋体"/>
                <w:color w:val="auto"/>
                <w:szCs w:val="21"/>
                <w:highlight w:val="none"/>
                <w:lang w:val="en-US" w:eastAsia="zh-CN"/>
              </w:rPr>
              <w:t>分</w:t>
            </w:r>
          </w:p>
        </w:tc>
      </w:tr>
      <w:tr w14:paraId="638C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46" w:type="dxa"/>
            <w:gridSpan w:val="3"/>
            <w:noWrap w:val="0"/>
            <w:vAlign w:val="center"/>
          </w:tcPr>
          <w:p w14:paraId="7FF07BD5">
            <w:pPr>
              <w:spacing w:line="360" w:lineRule="auto"/>
              <w:jc w:val="center"/>
              <w:rPr>
                <w:rFonts w:ascii="宋体" w:hAnsi="宋体"/>
                <w:color w:val="auto"/>
                <w:szCs w:val="21"/>
              </w:rPr>
            </w:pPr>
            <w:r>
              <w:rPr>
                <w:rFonts w:hint="eastAsia" w:ascii="宋体" w:hAnsi="宋体"/>
                <w:color w:val="auto"/>
                <w:szCs w:val="21"/>
              </w:rPr>
              <w:t>合计</w:t>
            </w:r>
          </w:p>
        </w:tc>
        <w:tc>
          <w:tcPr>
            <w:tcW w:w="809" w:type="dxa"/>
            <w:noWrap w:val="0"/>
            <w:vAlign w:val="center"/>
          </w:tcPr>
          <w:p w14:paraId="46E224E5">
            <w:pPr>
              <w:spacing w:line="360" w:lineRule="auto"/>
              <w:jc w:val="center"/>
              <w:rPr>
                <w:rFonts w:hint="eastAsia" w:ascii="宋体" w:hAnsi="宋体" w:eastAsia="宋体"/>
                <w:color w:val="auto"/>
                <w:lang w:eastAsia="zh-CN"/>
              </w:rPr>
            </w:pPr>
            <w:r>
              <w:rPr>
                <w:rFonts w:hint="eastAsia" w:ascii="Times New Roman" w:hAnsi="Times New Roman" w:eastAsia="宋体" w:cs="Times New Roman"/>
                <w:lang w:val="en-US" w:eastAsia="zh-CN"/>
              </w:rPr>
              <w:t>100</w:t>
            </w:r>
            <w:r>
              <w:rPr>
                <w:rFonts w:hint="eastAsia" w:ascii="宋体" w:hAnsi="宋体"/>
                <w:color w:val="auto"/>
                <w:lang w:eastAsia="zh-CN"/>
              </w:rPr>
              <w:t>分</w:t>
            </w:r>
          </w:p>
        </w:tc>
      </w:tr>
      <w:bookmarkEnd w:id="0"/>
    </w:tbl>
    <w:p w14:paraId="7758B2B0">
      <w:pPr>
        <w:spacing w:line="360" w:lineRule="auto"/>
        <w:ind w:firstLine="420" w:firstLineChars="200"/>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86E6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74A8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774A8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42B8D">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000000"/>
    <w:rsid w:val="00280D3D"/>
    <w:rsid w:val="004F7D60"/>
    <w:rsid w:val="005A2D64"/>
    <w:rsid w:val="00726F79"/>
    <w:rsid w:val="00E46AD2"/>
    <w:rsid w:val="00EB1C0E"/>
    <w:rsid w:val="0116312F"/>
    <w:rsid w:val="022632F0"/>
    <w:rsid w:val="03267819"/>
    <w:rsid w:val="045D1075"/>
    <w:rsid w:val="05BD6377"/>
    <w:rsid w:val="06E72E78"/>
    <w:rsid w:val="077B0190"/>
    <w:rsid w:val="07AB423D"/>
    <w:rsid w:val="07F53FC7"/>
    <w:rsid w:val="085C484A"/>
    <w:rsid w:val="08CD207F"/>
    <w:rsid w:val="09570229"/>
    <w:rsid w:val="09CF031F"/>
    <w:rsid w:val="0A3E104C"/>
    <w:rsid w:val="0A621193"/>
    <w:rsid w:val="0AA35A8D"/>
    <w:rsid w:val="0AC27E84"/>
    <w:rsid w:val="0ADF6709"/>
    <w:rsid w:val="0B031FF8"/>
    <w:rsid w:val="0B330D82"/>
    <w:rsid w:val="0B5252E0"/>
    <w:rsid w:val="0B5915B2"/>
    <w:rsid w:val="0BF63EFD"/>
    <w:rsid w:val="0C344DB1"/>
    <w:rsid w:val="0C871385"/>
    <w:rsid w:val="0D7C5016"/>
    <w:rsid w:val="0E3A4E39"/>
    <w:rsid w:val="0E5651F6"/>
    <w:rsid w:val="0E9B1118"/>
    <w:rsid w:val="0F0C1504"/>
    <w:rsid w:val="0FB36144"/>
    <w:rsid w:val="10001543"/>
    <w:rsid w:val="100B407B"/>
    <w:rsid w:val="113F222E"/>
    <w:rsid w:val="11CC5193"/>
    <w:rsid w:val="120450DA"/>
    <w:rsid w:val="12055A41"/>
    <w:rsid w:val="12C9238F"/>
    <w:rsid w:val="13157E18"/>
    <w:rsid w:val="135E0B3D"/>
    <w:rsid w:val="138A175B"/>
    <w:rsid w:val="14121DAC"/>
    <w:rsid w:val="142E20E6"/>
    <w:rsid w:val="15396F94"/>
    <w:rsid w:val="16012AC5"/>
    <w:rsid w:val="16326687"/>
    <w:rsid w:val="16A80356"/>
    <w:rsid w:val="16AA0397"/>
    <w:rsid w:val="16B167CC"/>
    <w:rsid w:val="170610F8"/>
    <w:rsid w:val="17070B85"/>
    <w:rsid w:val="172211AC"/>
    <w:rsid w:val="18664ECD"/>
    <w:rsid w:val="198164B4"/>
    <w:rsid w:val="1A710F7F"/>
    <w:rsid w:val="1CA90EA4"/>
    <w:rsid w:val="1CB17D58"/>
    <w:rsid w:val="1CEB5018"/>
    <w:rsid w:val="1D090252"/>
    <w:rsid w:val="1D4F1A4B"/>
    <w:rsid w:val="2000702C"/>
    <w:rsid w:val="20531559"/>
    <w:rsid w:val="20E47C7B"/>
    <w:rsid w:val="21251678"/>
    <w:rsid w:val="21507B40"/>
    <w:rsid w:val="21636166"/>
    <w:rsid w:val="2182320C"/>
    <w:rsid w:val="21B73ED8"/>
    <w:rsid w:val="22291947"/>
    <w:rsid w:val="22596E88"/>
    <w:rsid w:val="22F524FB"/>
    <w:rsid w:val="230B0532"/>
    <w:rsid w:val="23234A89"/>
    <w:rsid w:val="23955CDE"/>
    <w:rsid w:val="23E83B9F"/>
    <w:rsid w:val="24406F1A"/>
    <w:rsid w:val="24791DF7"/>
    <w:rsid w:val="25A11649"/>
    <w:rsid w:val="25A8494F"/>
    <w:rsid w:val="25CD5C03"/>
    <w:rsid w:val="27B91B08"/>
    <w:rsid w:val="27EA6359"/>
    <w:rsid w:val="29CC4423"/>
    <w:rsid w:val="29D67FA4"/>
    <w:rsid w:val="2A2B739C"/>
    <w:rsid w:val="2A432D46"/>
    <w:rsid w:val="2A7169DD"/>
    <w:rsid w:val="2A9F7BB6"/>
    <w:rsid w:val="2ACD0453"/>
    <w:rsid w:val="2AEF13BE"/>
    <w:rsid w:val="2D0F545C"/>
    <w:rsid w:val="2D216834"/>
    <w:rsid w:val="2DB84096"/>
    <w:rsid w:val="2E3B05C3"/>
    <w:rsid w:val="2EAB0AAB"/>
    <w:rsid w:val="2F1E2C53"/>
    <w:rsid w:val="300915AF"/>
    <w:rsid w:val="304C1E1A"/>
    <w:rsid w:val="30D140CD"/>
    <w:rsid w:val="31BC4D7D"/>
    <w:rsid w:val="32B85545"/>
    <w:rsid w:val="32FC4A8D"/>
    <w:rsid w:val="32FC6616"/>
    <w:rsid w:val="330557AD"/>
    <w:rsid w:val="33A672FD"/>
    <w:rsid w:val="34403A44"/>
    <w:rsid w:val="346534DC"/>
    <w:rsid w:val="347E456C"/>
    <w:rsid w:val="352761F5"/>
    <w:rsid w:val="35EA1EB9"/>
    <w:rsid w:val="364D069A"/>
    <w:rsid w:val="36CD5A73"/>
    <w:rsid w:val="37AD6244"/>
    <w:rsid w:val="37C568B0"/>
    <w:rsid w:val="380A3FE7"/>
    <w:rsid w:val="381454F7"/>
    <w:rsid w:val="38370059"/>
    <w:rsid w:val="391159AF"/>
    <w:rsid w:val="3A1A6AE5"/>
    <w:rsid w:val="3A2636DC"/>
    <w:rsid w:val="3ABB3E24"/>
    <w:rsid w:val="3BC136BC"/>
    <w:rsid w:val="3BDE4E43"/>
    <w:rsid w:val="3C2E0CC5"/>
    <w:rsid w:val="3CE33BBF"/>
    <w:rsid w:val="3DB2047D"/>
    <w:rsid w:val="3E141CB2"/>
    <w:rsid w:val="3E570EC6"/>
    <w:rsid w:val="3F283A52"/>
    <w:rsid w:val="3F6D1374"/>
    <w:rsid w:val="4024246B"/>
    <w:rsid w:val="40607ABC"/>
    <w:rsid w:val="40640ABA"/>
    <w:rsid w:val="413A60AB"/>
    <w:rsid w:val="43C8770C"/>
    <w:rsid w:val="45AC718B"/>
    <w:rsid w:val="45ED50AE"/>
    <w:rsid w:val="45F95539"/>
    <w:rsid w:val="469E110E"/>
    <w:rsid w:val="479C6D8B"/>
    <w:rsid w:val="48364026"/>
    <w:rsid w:val="488241D3"/>
    <w:rsid w:val="49D62A28"/>
    <w:rsid w:val="4A9C1907"/>
    <w:rsid w:val="4AF97CB6"/>
    <w:rsid w:val="4B6C4CC7"/>
    <w:rsid w:val="4BCB40E3"/>
    <w:rsid w:val="4BE5617B"/>
    <w:rsid w:val="4CA330E7"/>
    <w:rsid w:val="4CB07713"/>
    <w:rsid w:val="4CCD0706"/>
    <w:rsid w:val="4CF5766A"/>
    <w:rsid w:val="4CF87DD7"/>
    <w:rsid w:val="4DE84AD8"/>
    <w:rsid w:val="4E70527E"/>
    <w:rsid w:val="4E9B4F76"/>
    <w:rsid w:val="4EA10947"/>
    <w:rsid w:val="4F700B2E"/>
    <w:rsid w:val="4FB60E66"/>
    <w:rsid w:val="51120D76"/>
    <w:rsid w:val="51D10F25"/>
    <w:rsid w:val="528E29ED"/>
    <w:rsid w:val="52901F11"/>
    <w:rsid w:val="529B480F"/>
    <w:rsid w:val="52F83F51"/>
    <w:rsid w:val="530C74BB"/>
    <w:rsid w:val="53121B8E"/>
    <w:rsid w:val="53C47D96"/>
    <w:rsid w:val="54B6171E"/>
    <w:rsid w:val="55706356"/>
    <w:rsid w:val="55D30AF4"/>
    <w:rsid w:val="565F4ABA"/>
    <w:rsid w:val="568961D0"/>
    <w:rsid w:val="5733709E"/>
    <w:rsid w:val="574A05B2"/>
    <w:rsid w:val="574A1CB5"/>
    <w:rsid w:val="579059CE"/>
    <w:rsid w:val="57C55E8A"/>
    <w:rsid w:val="57F66416"/>
    <w:rsid w:val="58937570"/>
    <w:rsid w:val="58DF2F7C"/>
    <w:rsid w:val="59E167D6"/>
    <w:rsid w:val="5A183E5F"/>
    <w:rsid w:val="5AF8598C"/>
    <w:rsid w:val="5B1213E7"/>
    <w:rsid w:val="5B231A45"/>
    <w:rsid w:val="5BB3149D"/>
    <w:rsid w:val="5C594DF3"/>
    <w:rsid w:val="5C6202FE"/>
    <w:rsid w:val="5D0766E2"/>
    <w:rsid w:val="5D5B20F3"/>
    <w:rsid w:val="5D5F7676"/>
    <w:rsid w:val="5DAB3A7E"/>
    <w:rsid w:val="5DB868A1"/>
    <w:rsid w:val="5DC46F3E"/>
    <w:rsid w:val="5E525F9E"/>
    <w:rsid w:val="5E58282F"/>
    <w:rsid w:val="5E9216C5"/>
    <w:rsid w:val="5EC23ABB"/>
    <w:rsid w:val="5ECC67C9"/>
    <w:rsid w:val="5F075202"/>
    <w:rsid w:val="5F571ABE"/>
    <w:rsid w:val="5FA31F5D"/>
    <w:rsid w:val="5FF852C4"/>
    <w:rsid w:val="608D6F8C"/>
    <w:rsid w:val="60A54AAB"/>
    <w:rsid w:val="60B06A3A"/>
    <w:rsid w:val="60C8402D"/>
    <w:rsid w:val="62031A89"/>
    <w:rsid w:val="62061579"/>
    <w:rsid w:val="621C6FEF"/>
    <w:rsid w:val="627C4F78"/>
    <w:rsid w:val="62E775FD"/>
    <w:rsid w:val="62EA49F7"/>
    <w:rsid w:val="633B400F"/>
    <w:rsid w:val="63634DBE"/>
    <w:rsid w:val="645962D8"/>
    <w:rsid w:val="64942E0C"/>
    <w:rsid w:val="65683BA3"/>
    <w:rsid w:val="65D900EA"/>
    <w:rsid w:val="66A90E26"/>
    <w:rsid w:val="68332C5A"/>
    <w:rsid w:val="68EA3A4C"/>
    <w:rsid w:val="690B6A33"/>
    <w:rsid w:val="6A1277EF"/>
    <w:rsid w:val="6ADF1456"/>
    <w:rsid w:val="6B0F149F"/>
    <w:rsid w:val="6B1D49E9"/>
    <w:rsid w:val="6C663340"/>
    <w:rsid w:val="6CCA5F8C"/>
    <w:rsid w:val="6D5D0BE7"/>
    <w:rsid w:val="6D61071B"/>
    <w:rsid w:val="6D9863E0"/>
    <w:rsid w:val="6E42305D"/>
    <w:rsid w:val="6F286276"/>
    <w:rsid w:val="6F413BF1"/>
    <w:rsid w:val="6F433E0D"/>
    <w:rsid w:val="6F490CF7"/>
    <w:rsid w:val="6F491DD6"/>
    <w:rsid w:val="6FC54822"/>
    <w:rsid w:val="6FD21F6F"/>
    <w:rsid w:val="70301438"/>
    <w:rsid w:val="70CC398E"/>
    <w:rsid w:val="70EF3AEB"/>
    <w:rsid w:val="71266A01"/>
    <w:rsid w:val="716D2988"/>
    <w:rsid w:val="72041B2A"/>
    <w:rsid w:val="72801080"/>
    <w:rsid w:val="72A262B6"/>
    <w:rsid w:val="72C74D55"/>
    <w:rsid w:val="72CD743C"/>
    <w:rsid w:val="735A02FF"/>
    <w:rsid w:val="73644F94"/>
    <w:rsid w:val="739E1612"/>
    <w:rsid w:val="74F160B9"/>
    <w:rsid w:val="76790114"/>
    <w:rsid w:val="767A253F"/>
    <w:rsid w:val="76E23F0B"/>
    <w:rsid w:val="77D2097C"/>
    <w:rsid w:val="78281DF2"/>
    <w:rsid w:val="785C061A"/>
    <w:rsid w:val="78743289"/>
    <w:rsid w:val="78FD76DF"/>
    <w:rsid w:val="7932248D"/>
    <w:rsid w:val="79366790"/>
    <w:rsid w:val="79E077E8"/>
    <w:rsid w:val="7A416DDF"/>
    <w:rsid w:val="7A6D7F90"/>
    <w:rsid w:val="7A97325F"/>
    <w:rsid w:val="7BBC35D3"/>
    <w:rsid w:val="7C023E77"/>
    <w:rsid w:val="7C232FFC"/>
    <w:rsid w:val="7C8415C1"/>
    <w:rsid w:val="7DDD71DA"/>
    <w:rsid w:val="7E114FDF"/>
    <w:rsid w:val="7E171E3C"/>
    <w:rsid w:val="7E3E26F6"/>
    <w:rsid w:val="7F02013D"/>
    <w:rsid w:val="7F51685D"/>
    <w:rsid w:val="7F8C2C66"/>
    <w:rsid w:val="7F945FBF"/>
    <w:rsid w:val="7FAE00C1"/>
    <w:rsid w:val="FED6F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460" w:lineRule="exact"/>
    </w:pPr>
    <w:rPr>
      <w:rFonts w:ascii="宋体" w:hAnsi="宋体" w:eastAsia="宋体"/>
      <w:sz w:val="21"/>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Indent"/>
    <w:basedOn w:val="1"/>
    <w:qFormat/>
    <w:uiPriority w:val="0"/>
    <w:pPr>
      <w:widowControl w:val="0"/>
      <w:ind w:firstLine="420"/>
      <w:jc w:val="both"/>
    </w:pPr>
    <w:rPr>
      <w:kern w:val="2"/>
    </w:rPr>
  </w:style>
  <w:style w:type="paragraph" w:styleId="5">
    <w:name w:val="annotation text"/>
    <w:basedOn w:val="1"/>
    <w:qFormat/>
    <w:uiPriority w:val="0"/>
    <w:pPr>
      <w:widowControl w:val="0"/>
    </w:pPr>
    <w:rPr>
      <w:sz w:val="20"/>
    </w:rPr>
  </w:style>
  <w:style w:type="paragraph" w:styleId="6">
    <w:name w:val="toc 5"/>
    <w:basedOn w:val="1"/>
    <w:next w:val="1"/>
    <w:qFormat/>
    <w:uiPriority w:val="0"/>
    <w:pPr>
      <w:ind w:left="840"/>
      <w:jc w:val="left"/>
    </w:pPr>
    <w:rPr>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表格文字"/>
    <w:basedOn w:val="1"/>
    <w:qFormat/>
    <w:uiPriority w:val="0"/>
    <w:pPr>
      <w:spacing w:before="25" w:beforeLines="0" w:after="25" w:afterLines="0" w:line="240" w:lineRule="auto"/>
      <w:ind w:firstLine="0"/>
      <w:jc w:val="left"/>
    </w:pPr>
    <w:rPr>
      <w:bCs/>
      <w:spacing w:val="10"/>
      <w:kern w:val="0"/>
      <w:sz w:val="24"/>
    </w:rPr>
  </w:style>
  <w:style w:type="paragraph" w:customStyle="1" w:styleId="12">
    <w:name w:val="正文缩进2格"/>
    <w:basedOn w:val="1"/>
    <w:qFormat/>
    <w:uiPriority w:val="0"/>
    <w:pPr>
      <w:widowControl w:val="0"/>
      <w:spacing w:line="600" w:lineRule="exact"/>
      <w:ind w:firstLine="639" w:firstLineChars="206"/>
      <w:jc w:val="both"/>
    </w:pPr>
    <w:rPr>
      <w:rFonts w:ascii="仿宋_GB2312" w:hAnsi="宋体" w:eastAsia="仿宋_GB2312"/>
      <w:kern w:val="2"/>
      <w:sz w:val="31"/>
      <w:szCs w:val="22"/>
    </w:rPr>
  </w:style>
  <w:style w:type="paragraph" w:customStyle="1" w:styleId="13">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876</Words>
  <Characters>896</Characters>
  <Lines>0</Lines>
  <Paragraphs>0</Paragraphs>
  <TotalTime>12</TotalTime>
  <ScaleCrop>false</ScaleCrop>
  <LinksUpToDate>false</LinksUpToDate>
  <CharactersWithSpaces>902</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2024-07-26T16:44:00Z</dcterms:created>
  <dc:creator>Administrator</dc:creator>
  <cp:lastModifiedBy>user</cp:lastModifiedBy>
  <cp:lastPrinted>2024-11-27T07:34:16Z</cp:lastPrinted>
  <dcterms:modified xsi:type="dcterms:W3CDTF">2024-11-27T07:34:19Z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B5F4F6DF7D924E4C8CBDA1EEFEC1EEA0_13</vt:lpwstr>
  </property>
</Properties>
</file>