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r>
        <w:rPr>
          <w:b/>
          <w:color w:val="auto"/>
          <w:sz w:val="36"/>
          <w:szCs w:val="36"/>
        </w:rPr>
        <w:t>用户需求书</w:t>
      </w:r>
    </w:p>
    <w:p>
      <w:pPr>
        <w:pStyle w:val="14"/>
        <w:ind w:firstLine="482"/>
        <w:rPr>
          <w:rFonts w:hint="eastAsia"/>
          <w:b/>
          <w:color w:val="auto"/>
          <w:highlight w:val="none"/>
        </w:rPr>
      </w:pPr>
    </w:p>
    <w:p>
      <w:pPr>
        <w:pStyle w:val="14"/>
        <w:ind w:firstLine="482"/>
        <w:rPr>
          <w:b/>
          <w:color w:val="auto"/>
          <w:highlight w:val="none"/>
        </w:rPr>
      </w:pPr>
      <w:r>
        <w:rPr>
          <w:rFonts w:hint="eastAsia"/>
          <w:b/>
          <w:color w:val="auto"/>
          <w:highlight w:val="none"/>
        </w:rPr>
        <w:t>总则</w:t>
      </w:r>
    </w:p>
    <w:p>
      <w:pPr>
        <w:pStyle w:val="14"/>
        <w:ind w:firstLine="480"/>
        <w:rPr>
          <w:color w:val="auto"/>
          <w:highlight w:val="none"/>
        </w:rPr>
      </w:pPr>
      <w:r>
        <w:rPr>
          <w:rFonts w:hint="eastAsia"/>
          <w:color w:val="auto"/>
          <w:highlight w:val="none"/>
        </w:rPr>
        <w:t>1、成交供应商必须按国家、行业的标准及采购文件的要求对本项目提供相应的货物及服务。</w:t>
      </w:r>
    </w:p>
    <w:p>
      <w:pPr>
        <w:pStyle w:val="14"/>
        <w:ind w:firstLine="480"/>
        <w:rPr>
          <w:color w:val="auto"/>
          <w:highlight w:val="none"/>
        </w:rPr>
      </w:pPr>
      <w:r>
        <w:rPr>
          <w:rFonts w:hint="eastAsia"/>
          <w:color w:val="auto"/>
          <w:highlight w:val="none"/>
        </w:rPr>
        <w:t>2、《用户需求书》中凡有“★”标识的内容条款(如有)被视为实质性响应项目、指标；</w:t>
      </w:r>
      <w:r>
        <w:rPr>
          <w:rFonts w:hint="eastAsia"/>
          <w:color w:val="auto"/>
          <w:highlight w:val="none"/>
          <w:lang w:val="en-US" w:eastAsia="zh-CN"/>
        </w:rPr>
        <w:t>响应供应商</w:t>
      </w:r>
      <w:r>
        <w:rPr>
          <w:rFonts w:hint="eastAsia"/>
          <w:color w:val="auto"/>
          <w:highlight w:val="none"/>
        </w:rPr>
        <w:t>必须对此做出回答并完全满足这些要求不可以出现任何负偏离，如果出现负偏离将被视为无效</w:t>
      </w:r>
      <w:r>
        <w:rPr>
          <w:rFonts w:hint="eastAsia"/>
          <w:color w:val="auto"/>
          <w:highlight w:val="none"/>
          <w:lang w:val="en-US" w:eastAsia="zh-CN"/>
        </w:rPr>
        <w:t>响应</w:t>
      </w:r>
      <w:r>
        <w:rPr>
          <w:rFonts w:hint="eastAsia"/>
          <w:color w:val="auto"/>
          <w:highlight w:val="none"/>
        </w:rPr>
        <w:t>。凡有“▲”的内容（如有）为重点评审项目，供应商必须对该标识项目按照要求进行真实应答描述。</w:t>
      </w:r>
    </w:p>
    <w:p>
      <w:pPr>
        <w:pStyle w:val="14"/>
        <w:ind w:firstLine="480"/>
        <w:rPr>
          <w:color w:val="auto"/>
          <w:highlight w:val="none"/>
        </w:rPr>
      </w:pPr>
      <w:r>
        <w:rPr>
          <w:rFonts w:hint="eastAsia"/>
          <w:color w:val="auto"/>
          <w:highlight w:val="none"/>
          <w:lang w:val="en-US" w:eastAsia="zh-CN"/>
        </w:rPr>
        <w:t>3</w:t>
      </w:r>
      <w:r>
        <w:rPr>
          <w:rFonts w:hint="eastAsia"/>
          <w:color w:val="auto"/>
          <w:highlight w:val="none"/>
        </w:rPr>
        <w:t>、本项目由成交供应商负责采购文件对成交供应商要求的一切事宜及责任。响应报价中不得包含采购文件要求以外的内容，否则，在评</w:t>
      </w:r>
      <w:r>
        <w:rPr>
          <w:rFonts w:hint="eastAsia"/>
          <w:color w:val="auto"/>
          <w:highlight w:val="none"/>
          <w:lang w:val="en-US" w:eastAsia="zh-CN"/>
        </w:rPr>
        <w:t>审</w:t>
      </w:r>
      <w:r>
        <w:rPr>
          <w:rFonts w:hint="eastAsia"/>
          <w:color w:val="auto"/>
          <w:highlight w:val="none"/>
        </w:rPr>
        <w:t>时不予核减；若</w:t>
      </w:r>
      <w:r>
        <w:rPr>
          <w:rFonts w:hint="eastAsia"/>
          <w:color w:val="auto"/>
          <w:highlight w:val="none"/>
          <w:lang w:val="en-US" w:eastAsia="zh-CN"/>
        </w:rPr>
        <w:t>响应</w:t>
      </w:r>
      <w:r>
        <w:rPr>
          <w:rFonts w:hint="eastAsia"/>
          <w:color w:val="auto"/>
          <w:highlight w:val="none"/>
        </w:rPr>
        <w:t>报价有缺漏项的，缺漏项部分的价格视为已包含在</w:t>
      </w:r>
      <w:r>
        <w:rPr>
          <w:rFonts w:hint="eastAsia"/>
          <w:color w:val="auto"/>
          <w:highlight w:val="none"/>
          <w:lang w:val="en-US" w:eastAsia="zh-CN"/>
        </w:rPr>
        <w:t>响应</w:t>
      </w:r>
      <w:r>
        <w:rPr>
          <w:rFonts w:hint="eastAsia"/>
          <w:color w:val="auto"/>
          <w:highlight w:val="none"/>
        </w:rPr>
        <w:t>报价中，成交后不作任何调整，采购人将不再支付任何费用。</w:t>
      </w:r>
    </w:p>
    <w:p>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4、本项目不允许提交备选方案，不允许联合体响应、转包或分包。</w:t>
      </w:r>
    </w:p>
    <w:p>
      <w:pPr>
        <w:pStyle w:val="3"/>
        <w:pageBreakBefore w:val="0"/>
        <w:kinsoku/>
        <w:overflowPunct/>
        <w:bidi w:val="0"/>
        <w:spacing w:before="0" w:after="0" w:line="360" w:lineRule="auto"/>
        <w:ind w:left="0" w:leftChars="0" w:firstLine="0" w:firstLineChars="0"/>
        <w:jc w:val="left"/>
        <w:rPr>
          <w:rFonts w:hint="eastAsia" w:ascii="仿宋" w:hAnsi="仿宋" w:eastAsia="仿宋" w:cs="仿宋"/>
          <w:color w:val="auto"/>
          <w:sz w:val="24"/>
          <w:szCs w:val="24"/>
        </w:rPr>
      </w:pPr>
    </w:p>
    <w:p>
      <w:pPr>
        <w:pStyle w:val="14"/>
        <w:ind w:firstLine="482"/>
        <w:rPr>
          <w:rFonts w:hint="eastAsia"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一、项目概况</w:t>
      </w:r>
    </w:p>
    <w:p>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为加快我院创伤中心的建设，推进省级创伤中心的评审，根据《广东省卫生健康委关于印发《广东省创伤中心创建三年行动方案(2022-2024年)》的通知》文件中评审要求，院前急救与院前救治之间的信息交换与预警联动系统，在创伤患者经急救中心(站)救护车转运到达医院前，完成患者及医疗信息传输，并根据创伤的严重程度启动相对应的预警级别和准备工作，因此需要采购全国严重创伤救治信息交互联动系统服务以达到评审要求。</w:t>
      </w:r>
    </w:p>
    <w:p>
      <w:pPr>
        <w:pStyle w:val="14"/>
        <w:ind w:firstLine="482"/>
        <w:rPr>
          <w:rFonts w:hint="eastAsia" w:ascii="Times New Roman" w:hAnsi="Times New Roman" w:eastAsia="宋体" w:cs="Times New Roman"/>
          <w:b/>
          <w:color w:val="auto"/>
          <w:highlight w:val="none"/>
        </w:rPr>
      </w:pPr>
      <w:r>
        <w:rPr>
          <w:rFonts w:hint="eastAsia" w:ascii="Times New Roman" w:hAnsi="Times New Roman" w:eastAsia="宋体" w:cs="Times New Roman"/>
          <w:b/>
          <w:color w:val="auto"/>
          <w:highlight w:val="none"/>
          <w:lang w:val="en-US" w:eastAsia="zh-CN"/>
        </w:rPr>
        <w:t>二、项目</w:t>
      </w:r>
      <w:r>
        <w:rPr>
          <w:rFonts w:hint="eastAsia" w:ascii="Times New Roman" w:hAnsi="Times New Roman" w:eastAsia="宋体" w:cs="Times New Roman"/>
          <w:b/>
          <w:color w:val="auto"/>
          <w:highlight w:val="none"/>
        </w:rPr>
        <w:t>内容</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91"/>
        <w:gridCol w:w="846"/>
        <w:gridCol w:w="818"/>
        <w:gridCol w:w="165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highlight w:val="none"/>
                <w:vertAlign w:val="baseline"/>
              </w:rPr>
            </w:pPr>
            <w:r>
              <w:rPr>
                <w:rFonts w:hint="eastAsia" w:ascii="仿宋" w:hAnsi="仿宋" w:eastAsia="仿宋" w:cs="仿宋"/>
                <w:color w:val="auto"/>
                <w:sz w:val="24"/>
                <w:szCs w:val="24"/>
                <w:highlight w:val="none"/>
              </w:rPr>
              <w:t>序号</w:t>
            </w:r>
          </w:p>
        </w:tc>
        <w:tc>
          <w:tcPr>
            <w:tcW w:w="1991" w:type="dxa"/>
            <w:vAlign w:val="top"/>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highlight w:val="none"/>
                <w:vertAlign w:val="baseline"/>
              </w:rPr>
            </w:pPr>
            <w:r>
              <w:rPr>
                <w:rFonts w:hint="eastAsia" w:ascii="仿宋" w:hAnsi="仿宋" w:eastAsia="仿宋" w:cs="仿宋"/>
                <w:color w:val="auto"/>
                <w:sz w:val="24"/>
                <w:szCs w:val="24"/>
                <w:highlight w:val="none"/>
              </w:rPr>
              <w:t>采购标的名称</w:t>
            </w:r>
          </w:p>
        </w:tc>
        <w:tc>
          <w:tcPr>
            <w:tcW w:w="846" w:type="dxa"/>
            <w:vAlign w:val="top"/>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highlight w:val="none"/>
                <w:vertAlign w:val="baseline"/>
              </w:rPr>
            </w:pPr>
            <w:r>
              <w:rPr>
                <w:rFonts w:hint="eastAsia" w:ascii="仿宋" w:hAnsi="仿宋" w:eastAsia="仿宋" w:cs="仿宋"/>
                <w:color w:val="auto"/>
                <w:sz w:val="24"/>
                <w:szCs w:val="24"/>
                <w:highlight w:val="none"/>
                <w:lang w:val="en-US" w:eastAsia="zh-CN"/>
              </w:rPr>
              <w:t>数量</w:t>
            </w:r>
          </w:p>
        </w:tc>
        <w:tc>
          <w:tcPr>
            <w:tcW w:w="818" w:type="dxa"/>
            <w:vAlign w:val="top"/>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highlight w:val="none"/>
                <w:vertAlign w:val="baseline"/>
              </w:rPr>
            </w:pPr>
            <w:r>
              <w:rPr>
                <w:rFonts w:hint="eastAsia" w:ascii="仿宋" w:hAnsi="仿宋" w:eastAsia="仿宋" w:cs="仿宋"/>
                <w:color w:val="auto"/>
                <w:sz w:val="24"/>
                <w:szCs w:val="24"/>
                <w:highlight w:val="none"/>
                <w:lang w:val="en-US" w:eastAsia="zh-CN"/>
              </w:rPr>
              <w:t>单位</w:t>
            </w:r>
          </w:p>
        </w:tc>
        <w:tc>
          <w:tcPr>
            <w:tcW w:w="1650" w:type="dxa"/>
            <w:vAlign w:val="top"/>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highlight w:val="none"/>
                <w:vertAlign w:val="baseline"/>
              </w:rPr>
            </w:pPr>
            <w:r>
              <w:rPr>
                <w:rFonts w:hint="eastAsia" w:ascii="仿宋" w:hAnsi="仿宋" w:eastAsia="仿宋" w:cs="仿宋"/>
                <w:color w:val="auto"/>
                <w:sz w:val="24"/>
                <w:szCs w:val="24"/>
                <w:highlight w:val="none"/>
                <w:lang w:eastAsia="zh-CN"/>
              </w:rPr>
              <w:t>预算金额</w:t>
            </w:r>
          </w:p>
        </w:tc>
        <w:tc>
          <w:tcPr>
            <w:tcW w:w="2420" w:type="dxa"/>
            <w:vAlign w:val="top"/>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highlight w:val="none"/>
                <w:vertAlign w:val="baseli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sz w:val="21"/>
                <w:szCs w:val="24"/>
                <w:highlight w:val="none"/>
                <w:vertAlign w:val="baseline"/>
              </w:rPr>
            </w:pPr>
            <w:r>
              <w:rPr>
                <w:rFonts w:hint="eastAsia" w:ascii="仿宋" w:hAnsi="仿宋" w:eastAsia="仿宋" w:cs="仿宋"/>
                <w:color w:val="auto"/>
                <w:sz w:val="24"/>
                <w:szCs w:val="24"/>
                <w:highlight w:val="none"/>
              </w:rPr>
              <w:t>1</w:t>
            </w:r>
          </w:p>
        </w:tc>
        <w:tc>
          <w:tcPr>
            <w:tcW w:w="1991" w:type="dxa"/>
            <w:vAlign w:val="center"/>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sz w:val="21"/>
                <w:szCs w:val="24"/>
                <w:highlight w:val="none"/>
                <w:vertAlign w:val="baseline"/>
              </w:rPr>
            </w:pPr>
            <w:r>
              <w:rPr>
                <w:rFonts w:hint="eastAsia" w:ascii="Times New Roman" w:hAnsi="Times New Roman" w:eastAsia="宋体" w:cs="Times New Roman"/>
                <w:color w:val="auto"/>
                <w:sz w:val="21"/>
                <w:szCs w:val="21"/>
                <w:highlight w:val="none"/>
                <w:lang w:val="en-US" w:eastAsia="zh-CN"/>
              </w:rPr>
              <w:t>全国严重创伤救治信息交互联动系统服务</w:t>
            </w:r>
          </w:p>
        </w:tc>
        <w:tc>
          <w:tcPr>
            <w:tcW w:w="846" w:type="dxa"/>
            <w:vAlign w:val="center"/>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sz w:val="21"/>
                <w:szCs w:val="24"/>
                <w:highlight w:val="none"/>
                <w:vertAlign w:val="baseline"/>
              </w:rPr>
            </w:pPr>
            <w:r>
              <w:rPr>
                <w:rFonts w:hint="eastAsia" w:ascii="Times New Roman" w:hAnsi="Times New Roman" w:eastAsia="宋体" w:cs="Times New Roman"/>
                <w:color w:val="auto"/>
                <w:sz w:val="21"/>
                <w:szCs w:val="21"/>
                <w:highlight w:val="none"/>
                <w:lang w:val="en-US" w:eastAsia="zh-CN"/>
              </w:rPr>
              <w:t>1</w:t>
            </w:r>
          </w:p>
        </w:tc>
        <w:tc>
          <w:tcPr>
            <w:tcW w:w="818" w:type="dxa"/>
            <w:vAlign w:val="center"/>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color w:val="auto"/>
                <w:sz w:val="21"/>
                <w:szCs w:val="24"/>
                <w:highlight w:val="none"/>
                <w:vertAlign w:val="baseline"/>
              </w:rPr>
            </w:pPr>
            <w:r>
              <w:rPr>
                <w:rFonts w:hint="eastAsia" w:ascii="Times New Roman" w:hAnsi="Times New Roman" w:eastAsia="宋体" w:cs="Times New Roman"/>
                <w:color w:val="auto"/>
                <w:sz w:val="21"/>
                <w:szCs w:val="21"/>
                <w:highlight w:val="none"/>
                <w:lang w:val="en-US" w:eastAsia="zh-CN"/>
              </w:rPr>
              <w:t>项</w:t>
            </w:r>
          </w:p>
        </w:tc>
        <w:tc>
          <w:tcPr>
            <w:tcW w:w="1650" w:type="dxa"/>
            <w:vAlign w:val="center"/>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Times New Roman" w:hAnsi="Times New Roman" w:eastAsia="宋体" w:cs="Times New Roman"/>
                <w:b w:val="0"/>
                <w:bCs w:val="0"/>
                <w:color w:val="auto"/>
                <w:sz w:val="21"/>
                <w:szCs w:val="24"/>
                <w:highlight w:val="none"/>
                <w:vertAlign w:val="baseline"/>
              </w:rPr>
            </w:pPr>
            <w:r>
              <w:rPr>
                <w:rFonts w:hint="eastAsia" w:ascii="Times New Roman" w:hAnsi="Times New Roman" w:eastAsia="宋体" w:cs="Times New Roman"/>
                <w:b w:val="0"/>
                <w:bCs w:val="0"/>
                <w:color w:val="auto"/>
                <w:sz w:val="21"/>
                <w:szCs w:val="21"/>
                <w:highlight w:val="none"/>
                <w:lang w:val="en-US"/>
              </w:rPr>
              <w:t>¥</w:t>
            </w:r>
            <w:r>
              <w:rPr>
                <w:rFonts w:hint="eastAsia" w:cs="Times New Roman"/>
                <w:b w:val="0"/>
                <w:bCs w:val="0"/>
                <w:color w:val="auto"/>
                <w:sz w:val="21"/>
                <w:szCs w:val="21"/>
                <w:highlight w:val="none"/>
                <w:lang w:val="en-US" w:eastAsia="zh-CN"/>
              </w:rPr>
              <w:t>62000</w:t>
            </w:r>
            <w:r>
              <w:rPr>
                <w:rFonts w:hint="eastAsia" w:ascii="Times New Roman" w:hAnsi="Times New Roman" w:eastAsia="宋体" w:cs="Times New Roman"/>
                <w:b w:val="0"/>
                <w:bCs w:val="0"/>
                <w:color w:val="auto"/>
                <w:sz w:val="21"/>
                <w:szCs w:val="21"/>
                <w:highlight w:val="none"/>
                <w:lang w:val="en-US"/>
              </w:rPr>
              <w:t>.00元</w:t>
            </w:r>
          </w:p>
        </w:tc>
        <w:tc>
          <w:tcPr>
            <w:tcW w:w="2420" w:type="dxa"/>
            <w:vAlign w:val="center"/>
          </w:tcPr>
          <w:p>
            <w:pPr>
              <w:keepNext w:val="0"/>
              <w:keepLines w:val="0"/>
              <w:pageBreakBefore w:val="0"/>
              <w:widowControl/>
              <w:suppressLineNumbers w:val="0"/>
              <w:kinsoku/>
              <w:overflowPunct/>
              <w:bidi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color w:val="auto"/>
                <w:sz w:val="21"/>
                <w:szCs w:val="24"/>
                <w:highlight w:val="none"/>
                <w:vertAlign w:val="baseline"/>
                <w:lang w:val="en-US" w:eastAsia="zh-CN"/>
              </w:rPr>
            </w:pPr>
            <w:r>
              <w:rPr>
                <w:rFonts w:hint="eastAsia" w:cs="Times New Roman"/>
                <w:b w:val="0"/>
                <w:bCs w:val="0"/>
                <w:color w:val="auto"/>
                <w:sz w:val="21"/>
                <w:szCs w:val="24"/>
                <w:highlight w:val="none"/>
                <w:vertAlign w:val="baseline"/>
                <w:lang w:val="en-US" w:eastAsia="zh-CN"/>
              </w:rPr>
              <w:t>含3年服务期</w:t>
            </w:r>
          </w:p>
        </w:tc>
      </w:tr>
    </w:tbl>
    <w:p>
      <w:pPr>
        <w:pStyle w:val="4"/>
        <w:pageBreakBefore w:val="0"/>
        <w:numPr>
          <w:ilvl w:val="0"/>
          <w:numId w:val="0"/>
        </w:numPr>
        <w:kinsoku/>
        <w:overflowPunct/>
        <w:bidi w:val="0"/>
        <w:spacing w:before="0" w:beforeLines="0" w:after="0" w:afterLines="0" w:line="360" w:lineRule="auto"/>
        <w:rPr>
          <w:rFonts w:hint="eastAsia" w:ascii="仿宋" w:hAnsi="仿宋" w:eastAsia="仿宋" w:cs="仿宋"/>
          <w:b/>
          <w:bCs w:val="0"/>
          <w:color w:val="auto"/>
          <w:sz w:val="24"/>
          <w:szCs w:val="24"/>
          <w:lang w:val="en-US" w:eastAsia="zh-CN"/>
        </w:rPr>
      </w:pPr>
    </w:p>
    <w:p>
      <w:pPr>
        <w:rPr>
          <w:rFonts w:hint="eastAsia"/>
          <w:color w:val="auto"/>
          <w:lang w:val="en-US" w:eastAsia="zh-CN"/>
        </w:rPr>
      </w:pPr>
    </w:p>
    <w:p>
      <w:pPr>
        <w:pStyle w:val="14"/>
        <w:ind w:firstLine="482"/>
        <w:rPr>
          <w:rFonts w:hint="eastAsia" w:ascii="Times New Roman" w:hAnsi="Times New Roman" w:eastAsia="宋体" w:cs="Times New Roman"/>
          <w:b/>
          <w:color w:val="auto"/>
          <w:highlight w:val="none"/>
          <w:lang w:val="en-US" w:eastAsia="zh-CN"/>
        </w:rPr>
      </w:pPr>
      <w:r>
        <w:rPr>
          <w:rFonts w:hint="eastAsia" w:ascii="Times New Roman" w:hAnsi="Times New Roman" w:eastAsia="宋体" w:cs="Times New Roman"/>
          <w:b/>
          <w:color w:val="auto"/>
          <w:highlight w:val="none"/>
          <w:lang w:val="en-US" w:eastAsia="zh-CN"/>
        </w:rPr>
        <w:t>三、技术要求（系统功能需求）</w:t>
      </w:r>
    </w:p>
    <w:tbl>
      <w:tblPr>
        <w:tblStyle w:val="10"/>
        <w:tblW w:w="871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8"/>
        <w:gridCol w:w="702"/>
        <w:gridCol w:w="2240"/>
        <w:gridCol w:w="4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360" w:lineRule="auto"/>
              <w:ind w:left="0" w:leftChars="0" w:right="0" w:firstLine="0" w:firstLineChars="0"/>
              <w:jc w:val="center"/>
              <w:textAlignment w:val="center"/>
              <w:rPr>
                <w:rFonts w:hint="default" w:ascii="方正仿宋_GB2312" w:hAnsi="方正仿宋_GB2312" w:eastAsia="方正仿宋_GB2312" w:cs="方正仿宋_GB2312"/>
                <w:b/>
                <w:bCs/>
                <w:i w:val="0"/>
                <w:iCs w:val="0"/>
                <w:color w:val="auto"/>
                <w:kern w:val="0"/>
                <w:sz w:val="22"/>
                <w:szCs w:val="22"/>
                <w:highlight w:val="none"/>
                <w:lang w:val="en-US" w:eastAsia="zh-CN" w:bidi="ar"/>
              </w:rPr>
            </w:pPr>
            <w:r>
              <w:rPr>
                <w:rFonts w:hint="eastAsia" w:ascii="方正仿宋_GB2312" w:hAnsi="方正仿宋_GB2312" w:eastAsia="方正仿宋_GB2312" w:cs="方正仿宋_GB2312"/>
                <w:b/>
                <w:bCs/>
                <w:i w:val="0"/>
                <w:iCs w:val="0"/>
                <w:color w:val="auto"/>
                <w:kern w:val="0"/>
                <w:sz w:val="22"/>
                <w:szCs w:val="22"/>
                <w:highlight w:val="none"/>
                <w:lang w:val="en-US" w:eastAsia="zh-CN" w:bidi="ar"/>
              </w:rPr>
              <w:t>一级功能</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360" w:lineRule="auto"/>
              <w:ind w:left="0" w:leftChars="0" w:right="0" w:firstLine="0" w:firstLineChars="0"/>
              <w:jc w:val="center"/>
              <w:textAlignment w:val="center"/>
              <w:rPr>
                <w:rFonts w:hint="eastAsia" w:ascii="方正仿宋_GB2312" w:hAnsi="方正仿宋_GB2312" w:eastAsia="方正仿宋_GB2312" w:cs="方正仿宋_GB2312"/>
                <w:b/>
                <w:bCs/>
                <w:i w:val="0"/>
                <w:iCs w:val="0"/>
                <w:color w:val="auto"/>
                <w:kern w:val="0"/>
                <w:sz w:val="22"/>
                <w:szCs w:val="22"/>
                <w:highlight w:val="none"/>
                <w:lang w:val="en-US" w:eastAsia="zh-CN" w:bidi="ar"/>
              </w:rPr>
            </w:pPr>
            <w:r>
              <w:rPr>
                <w:rFonts w:hint="eastAsia" w:ascii="方正仿宋_GB2312" w:hAnsi="方正仿宋_GB2312" w:eastAsia="方正仿宋_GB2312" w:cs="方正仿宋_GB2312"/>
                <w:b/>
                <w:bCs/>
                <w:i w:val="0"/>
                <w:iCs w:val="0"/>
                <w:color w:val="auto"/>
                <w:kern w:val="0"/>
                <w:sz w:val="22"/>
                <w:szCs w:val="22"/>
                <w:highlight w:val="none"/>
                <w:lang w:val="en-US" w:eastAsia="zh-CN" w:bidi="ar"/>
              </w:rPr>
              <w:t>序号</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360" w:lineRule="auto"/>
              <w:ind w:left="0" w:leftChars="0" w:right="0" w:firstLine="0" w:firstLineChars="0"/>
              <w:jc w:val="center"/>
              <w:textAlignment w:val="center"/>
              <w:rPr>
                <w:rFonts w:hint="default" w:ascii="方正仿宋_GB2312" w:hAnsi="方正仿宋_GB2312" w:eastAsia="方正仿宋_GB2312" w:cs="方正仿宋_GB2312"/>
                <w:b/>
                <w:bCs/>
                <w:i w:val="0"/>
                <w:iCs w:val="0"/>
                <w:color w:val="auto"/>
                <w:kern w:val="0"/>
                <w:sz w:val="22"/>
                <w:szCs w:val="22"/>
                <w:highlight w:val="none"/>
                <w:lang w:val="en-US" w:eastAsia="zh-CN" w:bidi="ar"/>
              </w:rPr>
            </w:pPr>
            <w:r>
              <w:rPr>
                <w:rFonts w:hint="eastAsia" w:ascii="方正仿宋_GB2312" w:hAnsi="方正仿宋_GB2312" w:eastAsia="方正仿宋_GB2312" w:cs="方正仿宋_GB2312"/>
                <w:b/>
                <w:bCs/>
                <w:i w:val="0"/>
                <w:iCs w:val="0"/>
                <w:color w:val="auto"/>
                <w:kern w:val="0"/>
                <w:sz w:val="22"/>
                <w:szCs w:val="22"/>
                <w:highlight w:val="none"/>
                <w:lang w:val="en-US" w:eastAsia="zh-CN" w:bidi="ar"/>
              </w:rPr>
              <w:t>二级功能</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360" w:lineRule="auto"/>
              <w:ind w:left="0" w:leftChars="0" w:right="0" w:firstLine="0" w:firstLineChars="0"/>
              <w:jc w:val="center"/>
              <w:textAlignment w:val="center"/>
              <w:rPr>
                <w:rFonts w:hint="default" w:ascii="方正仿宋_GB2312" w:hAnsi="方正仿宋_GB2312" w:eastAsia="方正仿宋_GB2312" w:cs="方正仿宋_GB2312"/>
                <w:b/>
                <w:bCs/>
                <w:i w:val="0"/>
                <w:iCs w:val="0"/>
                <w:color w:val="auto"/>
                <w:kern w:val="0"/>
                <w:sz w:val="22"/>
                <w:szCs w:val="22"/>
                <w:highlight w:val="none"/>
                <w:lang w:val="en-US" w:eastAsia="zh-CN" w:bidi="ar"/>
              </w:rPr>
            </w:pPr>
            <w:r>
              <w:rPr>
                <w:rFonts w:hint="eastAsia" w:ascii="方正仿宋_GB2312" w:hAnsi="方正仿宋_GB2312" w:eastAsia="方正仿宋_GB2312" w:cs="方正仿宋_GB2312"/>
                <w:b/>
                <w:bCs/>
                <w:i w:val="0"/>
                <w:iCs w:val="0"/>
                <w:color w:val="auto"/>
                <w:kern w:val="0"/>
                <w:sz w:val="22"/>
                <w:szCs w:val="22"/>
                <w:highlight w:val="none"/>
                <w:lang w:val="en-US" w:eastAsia="zh-CN" w:bidi="ar"/>
              </w:rPr>
              <w:t>功能简单描述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0"/>
                <w:sz w:val="22"/>
                <w:szCs w:val="22"/>
                <w:highlight w:val="none"/>
                <w:lang w:val="en-US" w:eastAsia="zh-CN" w:bidi="ar"/>
              </w:rPr>
              <w:t>救护车端</w:t>
            </w:r>
          </w:p>
        </w:tc>
        <w:tc>
          <w:tcPr>
            <w:tcW w:w="702"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highlight w:val="no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2240" w:type="dxa"/>
            <w:tcBorders>
              <w:top w:val="single" w:color="auto"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color w:val="auto"/>
                <w:highlight w:val="none"/>
                <w:lang w:val="en-US" w:eastAsia="zh-CN"/>
              </w:rPr>
              <w:t>院前</w:t>
            </w:r>
            <w:r>
              <w:rPr>
                <w:rFonts w:hint="eastAsia" w:ascii="方正仿宋_GB2312" w:hAnsi="方正仿宋_GB2312" w:eastAsia="方正仿宋_GB2312" w:cs="方正仿宋_GB2312"/>
                <w:i w:val="0"/>
                <w:iCs w:val="0"/>
                <w:color w:val="auto"/>
                <w:kern w:val="0"/>
                <w:sz w:val="22"/>
                <w:szCs w:val="22"/>
                <w:highlight w:val="none"/>
                <w:lang w:val="en-US" w:eastAsia="zh-CN" w:bidi="ar"/>
              </w:rPr>
              <w:t>电子病历模块</w:t>
            </w:r>
          </w:p>
        </w:tc>
        <w:tc>
          <w:tcPr>
            <w:tcW w:w="4535" w:type="dxa"/>
            <w:vMerge w:val="restart"/>
            <w:tcBorders>
              <w:top w:val="single" w:color="auto" w:sz="4" w:space="0"/>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440" w:firstLineChars="20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2"/>
                <w:sz w:val="22"/>
                <w:szCs w:val="22"/>
                <w:highlight w:val="none"/>
              </w:rPr>
              <w:t>救护车端具有院前电子病历模块、评估工具模块、语音录入模块、院前信息预警模块、区域资源调度模块等功能。通过救护车端功能的应用实现对患者的院前信息录入、创伤评估、救护车定位、院前信息同步预警院内、 远程会诊等，为病人争取宝贵的“黄金时间”，提高抢救效率。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highlight w:val="none"/>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22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color w:val="auto"/>
                <w:highlight w:val="none"/>
              </w:rPr>
              <w:t>▲</w:t>
            </w:r>
            <w:r>
              <w:rPr>
                <w:rFonts w:hint="eastAsia" w:ascii="方正仿宋_GB2312" w:hAnsi="方正仿宋_GB2312" w:eastAsia="方正仿宋_GB2312" w:cs="方正仿宋_GB2312"/>
                <w:i w:val="0"/>
                <w:iCs w:val="0"/>
                <w:color w:val="auto"/>
                <w:kern w:val="0"/>
                <w:sz w:val="22"/>
                <w:szCs w:val="22"/>
                <w:highlight w:val="none"/>
                <w:lang w:val="en-US" w:eastAsia="zh-CN" w:bidi="ar"/>
              </w:rPr>
              <w:t>评估工具模块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highlight w:val="none"/>
                <w:lang w:val="en-US" w:eastAsia="zh-CN"/>
              </w:rPr>
            </w:pPr>
            <w:r>
              <w:rPr>
                <w:rFonts w:hint="eastAsia" w:ascii="宋体" w:hAnsi="宋体" w:eastAsia="宋体" w:cs="宋体"/>
                <w:i w:val="0"/>
                <w:iCs w:val="0"/>
                <w:color w:val="auto"/>
                <w:kern w:val="0"/>
                <w:sz w:val="22"/>
                <w:szCs w:val="22"/>
                <w:u w:val="none"/>
                <w:lang w:val="en-US" w:eastAsia="zh-CN" w:bidi="ar"/>
              </w:rPr>
              <w:t>3</w:t>
            </w:r>
          </w:p>
        </w:tc>
        <w:tc>
          <w:tcPr>
            <w:tcW w:w="22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0"/>
                <w:sz w:val="22"/>
                <w:szCs w:val="22"/>
                <w:highlight w:val="none"/>
                <w:lang w:val="en-US" w:eastAsia="zh-CN" w:bidi="ar"/>
              </w:rPr>
              <w:t>语音录入模块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highlight w:val="none"/>
                <w:lang w:val="en-US" w:eastAsia="zh-CN"/>
              </w:rPr>
            </w:pPr>
            <w:r>
              <w:rPr>
                <w:rFonts w:hint="eastAsia" w:ascii="宋体" w:hAnsi="宋体" w:eastAsia="宋体" w:cs="宋体"/>
                <w:i w:val="0"/>
                <w:iCs w:val="0"/>
                <w:color w:val="auto"/>
                <w:kern w:val="0"/>
                <w:sz w:val="22"/>
                <w:szCs w:val="22"/>
                <w:u w:val="none"/>
                <w:lang w:val="en-US" w:eastAsia="zh-CN" w:bidi="ar"/>
              </w:rPr>
              <w:t>4</w:t>
            </w:r>
          </w:p>
        </w:tc>
        <w:tc>
          <w:tcPr>
            <w:tcW w:w="22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color w:val="auto"/>
                <w:highlight w:val="none"/>
              </w:rPr>
              <w:t>▲</w:t>
            </w:r>
            <w:r>
              <w:rPr>
                <w:rFonts w:hint="eastAsia" w:ascii="方正仿宋_GB2312" w:hAnsi="方正仿宋_GB2312" w:eastAsia="方正仿宋_GB2312" w:cs="方正仿宋_GB2312"/>
                <w:i w:val="0"/>
                <w:iCs w:val="0"/>
                <w:color w:val="auto"/>
                <w:kern w:val="0"/>
                <w:sz w:val="22"/>
                <w:szCs w:val="22"/>
                <w:highlight w:val="none"/>
                <w:lang w:val="en-US" w:eastAsia="zh-CN" w:bidi="ar"/>
              </w:rPr>
              <w:t>院前信息预警模块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23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highlight w:val="none"/>
                <w:lang w:val="en-US" w:eastAsia="zh-CN"/>
              </w:rPr>
            </w:pPr>
            <w:r>
              <w:rPr>
                <w:rFonts w:hint="eastAsia" w:ascii="宋体" w:hAnsi="宋体" w:eastAsia="宋体" w:cs="宋体"/>
                <w:i w:val="0"/>
                <w:iCs w:val="0"/>
                <w:color w:val="auto"/>
                <w:kern w:val="0"/>
                <w:sz w:val="22"/>
                <w:szCs w:val="22"/>
                <w:u w:val="none"/>
                <w:lang w:val="en-US" w:eastAsia="zh-CN" w:bidi="ar"/>
              </w:rPr>
              <w:t>5</w:t>
            </w:r>
          </w:p>
        </w:tc>
        <w:tc>
          <w:tcPr>
            <w:tcW w:w="22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2"/>
                <w:sz w:val="22"/>
                <w:szCs w:val="22"/>
                <w:highlight w:val="none"/>
              </w:rPr>
              <w:t>区域资源调度模块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38"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p>
        </w:tc>
        <w:tc>
          <w:tcPr>
            <w:tcW w:w="22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default" w:ascii="方正仿宋_GB2312" w:hAnsi="方正仿宋_GB2312" w:eastAsia="方正仿宋_GB2312" w:cs="方正仿宋_GB2312"/>
                <w:i w:val="0"/>
                <w:iCs w:val="0"/>
                <w:color w:val="auto"/>
                <w:kern w:val="2"/>
                <w:sz w:val="22"/>
                <w:szCs w:val="22"/>
                <w:highlight w:val="none"/>
                <w:lang w:val="en-US" w:eastAsia="zh-CN"/>
              </w:rPr>
            </w:pPr>
            <w:r>
              <w:rPr>
                <w:rFonts w:hint="eastAsia" w:ascii="方正仿宋_GB2312" w:hAnsi="方正仿宋_GB2312" w:eastAsia="方正仿宋_GB2312" w:cs="方正仿宋_GB2312"/>
                <w:i w:val="0"/>
                <w:iCs w:val="0"/>
                <w:color w:val="auto"/>
                <w:kern w:val="2"/>
                <w:sz w:val="22"/>
                <w:szCs w:val="22"/>
                <w:highlight w:val="none"/>
                <w:lang w:val="en-US" w:eastAsia="zh-CN"/>
              </w:rPr>
              <w:t>远程会诊模块</w:t>
            </w:r>
          </w:p>
        </w:tc>
        <w:tc>
          <w:tcPr>
            <w:tcW w:w="4535" w:type="dxa"/>
            <w:vMerge w:val="continue"/>
            <w:tcBorders>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center"/>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2"/>
                <w:sz w:val="22"/>
                <w:szCs w:val="22"/>
                <w:highlight w:val="none"/>
              </w:rPr>
              <w:t>急诊室端</w:t>
            </w:r>
          </w:p>
        </w:tc>
        <w:tc>
          <w:tcPr>
            <w:tcW w:w="7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highlight w:val="none"/>
                <w:lang w:val="en-US" w:eastAsia="zh-CN"/>
              </w:rPr>
            </w:pPr>
            <w:r>
              <w:rPr>
                <w:rFonts w:hint="eastAsia" w:ascii="宋体" w:hAnsi="宋体" w:cs="宋体"/>
                <w:i w:val="0"/>
                <w:iCs w:val="0"/>
                <w:color w:val="auto"/>
                <w:kern w:val="0"/>
                <w:sz w:val="22"/>
                <w:szCs w:val="22"/>
                <w:u w:val="none"/>
                <w:lang w:val="en-US" w:eastAsia="zh-CN" w:bidi="ar"/>
              </w:rPr>
              <w:t>7</w:t>
            </w:r>
          </w:p>
        </w:tc>
        <w:tc>
          <w:tcPr>
            <w:tcW w:w="224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0"/>
                <w:sz w:val="22"/>
                <w:szCs w:val="22"/>
                <w:highlight w:val="none"/>
                <w:lang w:val="en-US" w:eastAsia="zh-CN" w:bidi="ar"/>
              </w:rPr>
              <w:t>电子病历模块</w:t>
            </w:r>
          </w:p>
        </w:tc>
        <w:tc>
          <w:tcPr>
            <w:tcW w:w="4535" w:type="dxa"/>
            <w:vMerge w:val="restart"/>
            <w:tcBorders>
              <w:top w:val="single" w:color="000000" w:sz="4" w:space="0"/>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440" w:firstLineChars="20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2"/>
                <w:sz w:val="22"/>
                <w:szCs w:val="22"/>
                <w:highlight w:val="none"/>
              </w:rPr>
              <w:t>急诊室端具有电子病历模块、评估工具模块、院前院内信息预警模块、院前交接单模块、会诊通知模块、远程会诊模块、院际转运模块、业务数据</w:t>
            </w:r>
            <w:r>
              <w:rPr>
                <w:rFonts w:hint="eastAsia" w:ascii="方正仿宋_GB2312" w:hAnsi="方正仿宋_GB2312" w:eastAsia="方正仿宋_GB2312" w:cs="方正仿宋_GB2312"/>
                <w:i w:val="0"/>
                <w:iCs w:val="0"/>
                <w:color w:val="auto"/>
                <w:kern w:val="2"/>
                <w:sz w:val="22"/>
                <w:szCs w:val="22"/>
                <w:highlight w:val="none"/>
                <w:lang w:val="en-US" w:eastAsia="zh-CN"/>
              </w:rPr>
              <w:t>分析模块、</w:t>
            </w:r>
            <w:r>
              <w:rPr>
                <w:rFonts w:hint="eastAsia" w:ascii="方正仿宋_GB2312" w:hAnsi="方正仿宋_GB2312" w:eastAsia="方正仿宋_GB2312" w:cs="方正仿宋_GB2312"/>
                <w:i w:val="0"/>
                <w:iCs w:val="0"/>
                <w:color w:val="auto"/>
                <w:kern w:val="2"/>
                <w:sz w:val="22"/>
                <w:szCs w:val="22"/>
                <w:highlight w:val="none"/>
              </w:rPr>
              <w:t>创伤质控数据上报</w:t>
            </w:r>
            <w:r>
              <w:rPr>
                <w:rFonts w:hint="eastAsia" w:ascii="方正仿宋_GB2312" w:hAnsi="方正仿宋_GB2312" w:eastAsia="方正仿宋_GB2312" w:cs="方正仿宋_GB2312"/>
                <w:i w:val="0"/>
                <w:iCs w:val="0"/>
                <w:color w:val="auto"/>
                <w:kern w:val="2"/>
                <w:sz w:val="22"/>
                <w:szCs w:val="22"/>
                <w:highlight w:val="none"/>
                <w:lang w:val="en-US" w:eastAsia="zh-CN"/>
              </w:rPr>
              <w:t>管理</w:t>
            </w:r>
            <w:r>
              <w:rPr>
                <w:rFonts w:hint="eastAsia" w:ascii="方正仿宋_GB2312" w:hAnsi="方正仿宋_GB2312" w:eastAsia="方正仿宋_GB2312" w:cs="方正仿宋_GB2312"/>
                <w:i w:val="0"/>
                <w:iCs w:val="0"/>
                <w:color w:val="auto"/>
                <w:kern w:val="2"/>
                <w:sz w:val="22"/>
                <w:szCs w:val="22"/>
                <w:highlight w:val="none"/>
              </w:rPr>
              <w:t>等。通过上述功能，院内急诊医生可实时获取院前病人基本信息，实时接收院前信息预警，对于伤情较为严重的患者通过音视频会诊实现院前急救指导。同时支持对接国家创伤医学中心</w:t>
            </w:r>
            <w:r>
              <w:rPr>
                <w:rFonts w:hint="eastAsia" w:ascii="方正仿宋_GB2312" w:hAnsi="方正仿宋_GB2312" w:eastAsia="方正仿宋_GB2312" w:cs="方正仿宋_GB2312"/>
                <w:i w:val="0"/>
                <w:iCs w:val="0"/>
                <w:color w:val="auto"/>
                <w:kern w:val="2"/>
                <w:sz w:val="22"/>
                <w:szCs w:val="22"/>
                <w:highlight w:val="none"/>
                <w:lang w:val="en-US" w:eastAsia="zh-CN"/>
              </w:rPr>
              <w:t>平台</w:t>
            </w:r>
            <w:r>
              <w:rPr>
                <w:rFonts w:hint="eastAsia" w:ascii="方正仿宋_GB2312" w:hAnsi="方正仿宋_GB2312" w:eastAsia="方正仿宋_GB2312" w:cs="方正仿宋_GB2312"/>
                <w:i w:val="0"/>
                <w:iCs w:val="0"/>
                <w:color w:val="auto"/>
                <w:kern w:val="2"/>
                <w:sz w:val="22"/>
                <w:szCs w:val="22"/>
                <w:highlight w:val="none"/>
              </w:rPr>
              <w:t>，可将创伤质控指标相关的数据信息进行采集归类，并上报至国家创伤医学中心，支持每周给系统中录入的医院管理者推送短信服务，提高医院管理者对医院</w:t>
            </w:r>
            <w:r>
              <w:rPr>
                <w:rFonts w:hint="eastAsia" w:ascii="方正仿宋_GB2312" w:hAnsi="方正仿宋_GB2312" w:eastAsia="方正仿宋_GB2312" w:cs="方正仿宋_GB2312"/>
                <w:i w:val="0"/>
                <w:iCs w:val="0"/>
                <w:color w:val="auto"/>
                <w:kern w:val="2"/>
                <w:sz w:val="22"/>
                <w:szCs w:val="22"/>
                <w:highlight w:val="none"/>
                <w:lang w:val="en-US" w:eastAsia="zh-CN"/>
              </w:rPr>
              <w:t>创伤救治服务质量</w:t>
            </w:r>
            <w:r>
              <w:rPr>
                <w:rFonts w:hint="eastAsia" w:ascii="方正仿宋_GB2312" w:hAnsi="方正仿宋_GB2312" w:eastAsia="方正仿宋_GB2312" w:cs="方正仿宋_GB2312"/>
                <w:i w:val="0"/>
                <w:iCs w:val="0"/>
                <w:color w:val="auto"/>
                <w:kern w:val="2"/>
                <w:sz w:val="22"/>
                <w:szCs w:val="22"/>
                <w:highlight w:val="none"/>
              </w:rPr>
              <w:t>情况的精准把控。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highlight w:val="none"/>
                <w:lang w:val="en-US" w:eastAsia="zh-CN"/>
              </w:rPr>
            </w:pPr>
            <w:r>
              <w:rPr>
                <w:rFonts w:hint="eastAsia" w:ascii="宋体" w:hAnsi="宋体" w:cs="宋体"/>
                <w:i w:val="0"/>
                <w:iCs w:val="0"/>
                <w:color w:val="auto"/>
                <w:kern w:val="0"/>
                <w:sz w:val="22"/>
                <w:szCs w:val="22"/>
                <w:u w:val="none"/>
                <w:lang w:val="en-US" w:eastAsia="zh-CN" w:bidi="ar"/>
              </w:rPr>
              <w:t>8</w:t>
            </w:r>
          </w:p>
        </w:tc>
        <w:tc>
          <w:tcPr>
            <w:tcW w:w="224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color w:val="auto"/>
                <w:highlight w:val="none"/>
              </w:rPr>
              <w:t>▲</w:t>
            </w:r>
            <w:r>
              <w:rPr>
                <w:rFonts w:hint="eastAsia" w:ascii="方正仿宋_GB2312" w:hAnsi="方正仿宋_GB2312" w:eastAsia="方正仿宋_GB2312" w:cs="方正仿宋_GB2312"/>
                <w:i w:val="0"/>
                <w:iCs w:val="0"/>
                <w:color w:val="auto"/>
                <w:kern w:val="0"/>
                <w:sz w:val="22"/>
                <w:szCs w:val="22"/>
                <w:highlight w:val="none"/>
                <w:lang w:val="en-US" w:eastAsia="zh-CN" w:bidi="ar"/>
              </w:rPr>
              <w:t>评估工具模块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highlight w:val="none"/>
                <w:lang w:val="en-US" w:eastAsia="zh-CN"/>
              </w:rPr>
            </w:pPr>
            <w:r>
              <w:rPr>
                <w:rFonts w:hint="eastAsia" w:ascii="宋体" w:hAnsi="宋体" w:cs="宋体"/>
                <w:i w:val="0"/>
                <w:iCs w:val="0"/>
                <w:color w:val="auto"/>
                <w:kern w:val="0"/>
                <w:sz w:val="22"/>
                <w:szCs w:val="22"/>
                <w:u w:val="none"/>
                <w:lang w:val="en-US" w:eastAsia="zh-CN" w:bidi="ar"/>
              </w:rPr>
              <w:t>9</w:t>
            </w:r>
          </w:p>
        </w:tc>
        <w:tc>
          <w:tcPr>
            <w:tcW w:w="224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color w:val="auto"/>
                <w:highlight w:val="none"/>
              </w:rPr>
              <w:t>▲</w:t>
            </w:r>
            <w:r>
              <w:rPr>
                <w:rFonts w:hint="eastAsia" w:ascii="方正仿宋_GB2312" w:hAnsi="方正仿宋_GB2312" w:eastAsia="方正仿宋_GB2312" w:cs="方正仿宋_GB2312"/>
                <w:i w:val="0"/>
                <w:iCs w:val="0"/>
                <w:color w:val="auto"/>
                <w:kern w:val="2"/>
                <w:sz w:val="22"/>
                <w:szCs w:val="22"/>
                <w:highlight w:val="none"/>
              </w:rPr>
              <w:t>院前院内信息预警模块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highlight w:val="none"/>
                <w:lang w:val="en-US" w:eastAsia="zh-CN"/>
              </w:rPr>
            </w:pPr>
            <w:r>
              <w:rPr>
                <w:rFonts w:hint="eastAsia" w:ascii="宋体" w:hAnsi="宋体" w:cs="宋体"/>
                <w:i w:val="0"/>
                <w:iCs w:val="0"/>
                <w:color w:val="auto"/>
                <w:kern w:val="0"/>
                <w:sz w:val="22"/>
                <w:szCs w:val="22"/>
                <w:u w:val="none"/>
                <w:lang w:val="en-US" w:eastAsia="zh-CN" w:bidi="ar"/>
              </w:rPr>
              <w:t>10</w:t>
            </w:r>
          </w:p>
        </w:tc>
        <w:tc>
          <w:tcPr>
            <w:tcW w:w="224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2"/>
                <w:sz w:val="22"/>
                <w:szCs w:val="22"/>
                <w:highlight w:val="none"/>
              </w:rPr>
              <w:t>院前交接单模块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auto"/>
                <w:highlight w:val="none"/>
                <w:lang w:val="en-US" w:eastAsia="zh-CN"/>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1</w:t>
            </w:r>
          </w:p>
        </w:tc>
        <w:tc>
          <w:tcPr>
            <w:tcW w:w="224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0"/>
                <w:sz w:val="22"/>
                <w:szCs w:val="22"/>
                <w:highlight w:val="none"/>
                <w:lang w:eastAsia="zh-CN" w:bidi="ar"/>
              </w:rPr>
            </w:pPr>
            <w:r>
              <w:rPr>
                <w:rFonts w:hint="eastAsia"/>
                <w:color w:val="auto"/>
                <w:highlight w:val="none"/>
              </w:rPr>
              <w:t>▲</w:t>
            </w:r>
            <w:r>
              <w:rPr>
                <w:rFonts w:hint="eastAsia" w:ascii="方正仿宋_GB2312" w:hAnsi="方正仿宋_GB2312" w:eastAsia="方正仿宋_GB2312" w:cs="方正仿宋_GB2312"/>
                <w:i w:val="0"/>
                <w:iCs w:val="0"/>
                <w:color w:val="auto"/>
                <w:kern w:val="0"/>
                <w:sz w:val="22"/>
                <w:szCs w:val="22"/>
                <w:highlight w:val="none"/>
                <w:lang w:eastAsia="zh-CN" w:bidi="ar"/>
              </w:rPr>
              <w:t>会诊通知模块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0"/>
                <w:sz w:val="22"/>
                <w:szCs w:val="22"/>
                <w:highlight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color w:val="auto"/>
                <w:highlight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2</w:t>
            </w:r>
          </w:p>
        </w:tc>
        <w:tc>
          <w:tcPr>
            <w:tcW w:w="2240"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color w:val="auto"/>
                <w:highlight w:val="none"/>
              </w:rPr>
              <w:t>▲</w:t>
            </w:r>
            <w:r>
              <w:rPr>
                <w:rFonts w:hint="eastAsia" w:ascii="方正仿宋_GB2312" w:hAnsi="方正仿宋_GB2312" w:eastAsia="方正仿宋_GB2312" w:cs="方正仿宋_GB2312"/>
                <w:i w:val="0"/>
                <w:iCs w:val="0"/>
                <w:color w:val="auto"/>
                <w:kern w:val="2"/>
                <w:sz w:val="22"/>
                <w:szCs w:val="22"/>
                <w:highlight w:val="none"/>
              </w:rPr>
              <w:t>远程会诊模块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color w:val="auto"/>
                <w:highlight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3</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2"/>
                <w:sz w:val="22"/>
                <w:szCs w:val="22"/>
                <w:highlight w:val="none"/>
              </w:rPr>
              <w:t>院际转运模块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color w:val="auto"/>
                <w:highlight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4</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default" w:ascii="方正仿宋_GB2312" w:hAnsi="方正仿宋_GB2312" w:eastAsia="方正仿宋_GB2312" w:cs="方正仿宋_GB2312"/>
                <w:i w:val="0"/>
                <w:iCs w:val="0"/>
                <w:color w:val="auto"/>
                <w:kern w:val="2"/>
                <w:sz w:val="22"/>
                <w:szCs w:val="22"/>
                <w:highlight w:val="none"/>
                <w:lang w:val="en-US"/>
              </w:rPr>
            </w:pPr>
            <w:r>
              <w:rPr>
                <w:rFonts w:hint="eastAsia"/>
                <w:color w:val="auto"/>
                <w:highlight w:val="none"/>
              </w:rPr>
              <w:t>▲</w:t>
            </w:r>
            <w:r>
              <w:rPr>
                <w:rFonts w:hint="eastAsia" w:ascii="方正仿宋_GB2312" w:hAnsi="方正仿宋_GB2312" w:eastAsia="方正仿宋_GB2312" w:cs="方正仿宋_GB2312"/>
                <w:i w:val="0"/>
                <w:iCs w:val="0"/>
                <w:color w:val="auto"/>
                <w:kern w:val="0"/>
                <w:sz w:val="22"/>
                <w:szCs w:val="22"/>
                <w:highlight w:val="none"/>
                <w:lang w:val="en-US" w:eastAsia="zh-CN" w:bidi="ar"/>
              </w:rPr>
              <w:t>业务数据分析模块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15</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0"/>
                <w:sz w:val="22"/>
                <w:szCs w:val="22"/>
                <w:highlight w:val="none"/>
                <w:lang w:val="en-US" w:eastAsia="zh-CN" w:bidi="ar"/>
              </w:rPr>
            </w:pPr>
            <w:r>
              <w:rPr>
                <w:rFonts w:hint="eastAsia"/>
                <w:color w:val="auto"/>
                <w:highlight w:val="none"/>
              </w:rPr>
              <w:t>★</w:t>
            </w:r>
            <w:r>
              <w:rPr>
                <w:rFonts w:hint="eastAsia" w:ascii="方正仿宋_GB2312" w:hAnsi="方正仿宋_GB2312" w:eastAsia="方正仿宋_GB2312" w:cs="方正仿宋_GB2312"/>
                <w:i w:val="0"/>
                <w:iCs w:val="0"/>
                <w:color w:val="auto"/>
                <w:kern w:val="0"/>
                <w:sz w:val="22"/>
                <w:szCs w:val="22"/>
                <w:highlight w:val="none"/>
                <w:lang w:val="en-US" w:eastAsia="zh-CN" w:bidi="ar"/>
              </w:rPr>
              <w:t>创伤质控数据上报管理模块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0"/>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16</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0"/>
                <w:sz w:val="22"/>
                <w:szCs w:val="22"/>
                <w:highlight w:val="none"/>
                <w:lang w:val="en-US" w:eastAsia="zh-CN" w:bidi="ar"/>
              </w:rPr>
            </w:pPr>
            <w:r>
              <w:rPr>
                <w:rFonts w:hint="eastAsia" w:ascii="方正仿宋_GB2312" w:hAnsi="方正仿宋_GB2312" w:eastAsia="方正仿宋_GB2312" w:cs="方正仿宋_GB2312"/>
                <w:i w:val="0"/>
                <w:iCs w:val="0"/>
                <w:color w:val="auto"/>
                <w:kern w:val="0"/>
                <w:sz w:val="22"/>
                <w:szCs w:val="22"/>
                <w:highlight w:val="none"/>
                <w:lang w:val="en-US" w:eastAsia="zh-CN" w:bidi="ar"/>
              </w:rPr>
              <w:t>创伤质控数据上报模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default" w:ascii="方正仿宋_GB2312" w:hAnsi="方正仿宋_GB2312" w:eastAsia="方正仿宋_GB2312" w:cs="方正仿宋_GB2312"/>
                <w:i w:val="0"/>
                <w:iCs w:val="0"/>
                <w:color w:val="auto"/>
                <w:kern w:val="0"/>
                <w:sz w:val="22"/>
                <w:szCs w:val="22"/>
                <w:highlight w:val="none"/>
                <w:lang w:val="en-US" w:eastAsia="zh-CN" w:bidi="ar"/>
              </w:rPr>
            </w:pPr>
            <w:r>
              <w:rPr>
                <w:rFonts w:hint="eastAsia" w:ascii="方正仿宋_GB2312" w:hAnsi="方正仿宋_GB2312" w:eastAsia="方正仿宋_GB2312" w:cs="方正仿宋_GB2312"/>
                <w:i w:val="0"/>
                <w:iCs w:val="0"/>
                <w:color w:val="auto"/>
                <w:kern w:val="0"/>
                <w:sz w:val="22"/>
                <w:szCs w:val="22"/>
                <w:highlight w:val="none"/>
                <w:lang w:val="en-US" w:eastAsia="zh-CN" w:bidi="ar"/>
              </w:rPr>
              <w:t>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0"/>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17</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default" w:ascii="方正仿宋_GB2312" w:hAnsi="方正仿宋_GB2312" w:eastAsia="方正仿宋_GB2312" w:cs="方正仿宋_GB2312"/>
                <w:i w:val="0"/>
                <w:iCs w:val="0"/>
                <w:color w:val="auto"/>
                <w:kern w:val="0"/>
                <w:sz w:val="22"/>
                <w:szCs w:val="22"/>
                <w:highlight w:val="none"/>
                <w:lang w:val="en-US" w:eastAsia="zh-CN" w:bidi="ar"/>
              </w:rPr>
            </w:pPr>
            <w:r>
              <w:rPr>
                <w:rFonts w:hint="eastAsia" w:ascii="方正仿宋_GB2312" w:hAnsi="方正仿宋_GB2312" w:eastAsia="方正仿宋_GB2312" w:cs="方正仿宋_GB2312"/>
                <w:i w:val="0"/>
                <w:iCs w:val="0"/>
                <w:color w:val="auto"/>
                <w:kern w:val="0"/>
                <w:sz w:val="22"/>
                <w:szCs w:val="22"/>
                <w:highlight w:val="none"/>
                <w:lang w:val="en-US" w:eastAsia="zh-CN" w:bidi="ar"/>
              </w:rPr>
              <w:t>创伤质控数据导出模块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0"/>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0"/>
                <w:sz w:val="22"/>
                <w:szCs w:val="22"/>
                <w:highlight w:val="none"/>
                <w:lang w:val="en-US" w:eastAsia="zh-CN" w:bidi="ar"/>
              </w:rPr>
            </w:pPr>
            <w:r>
              <w:rPr>
                <w:rFonts w:hint="eastAsia" w:ascii="方正仿宋_GB2312" w:hAnsi="方正仿宋_GB2312" w:eastAsia="方正仿宋_GB2312" w:cs="方正仿宋_GB2312"/>
                <w:i w:val="0"/>
                <w:iCs w:val="0"/>
                <w:color w:val="auto"/>
                <w:kern w:val="0"/>
                <w:sz w:val="22"/>
                <w:szCs w:val="22"/>
                <w:highlight w:val="none"/>
                <w:lang w:val="en-US" w:eastAsia="zh-CN" w:bidi="ar"/>
              </w:rPr>
              <w:t>周报短信模块</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0"/>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outlineLvl w:val="9"/>
              <w:rPr>
                <w:rFonts w:hint="eastAsia" w:ascii="方正仿宋_GB2312" w:hAnsi="方正仿宋_GB2312" w:eastAsia="方正仿宋_GB2312" w:cs="方正仿宋_GB2312"/>
                <w:color w:val="auto"/>
                <w:sz w:val="20"/>
                <w:szCs w:val="20"/>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19</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default" w:ascii="方正仿宋_GB2312" w:hAnsi="方正仿宋_GB2312" w:eastAsia="方正仿宋_GB2312" w:cs="方正仿宋_GB2312"/>
                <w:i w:val="0"/>
                <w:iCs w:val="0"/>
                <w:color w:val="auto"/>
                <w:kern w:val="0"/>
                <w:sz w:val="22"/>
                <w:szCs w:val="22"/>
                <w:highlight w:val="none"/>
                <w:lang w:val="en-US" w:eastAsia="zh-CN" w:bidi="ar"/>
              </w:rPr>
            </w:pPr>
            <w:r>
              <w:rPr>
                <w:rFonts w:hint="eastAsia" w:ascii="方正仿宋_GB2312" w:hAnsi="方正仿宋_GB2312" w:eastAsia="方正仿宋_GB2312" w:cs="方正仿宋_GB2312"/>
                <w:i w:val="0"/>
                <w:iCs w:val="0"/>
                <w:color w:val="auto"/>
                <w:kern w:val="0"/>
                <w:sz w:val="22"/>
                <w:szCs w:val="22"/>
                <w:highlight w:val="none"/>
                <w:lang w:val="en-US" w:eastAsia="zh-CN" w:bidi="ar"/>
              </w:rPr>
              <w:t>系统设置</w:t>
            </w:r>
          </w:p>
        </w:tc>
        <w:tc>
          <w:tcPr>
            <w:tcW w:w="4535" w:type="dxa"/>
            <w:vMerge w:val="continue"/>
            <w:tcBorders>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0"/>
                <w:sz w:val="22"/>
                <w:szCs w:val="2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2"/>
                <w:sz w:val="22"/>
                <w:szCs w:val="22"/>
                <w:highlight w:val="none"/>
              </w:rPr>
              <w:t>医护端</w:t>
            </w:r>
          </w:p>
        </w:tc>
        <w:tc>
          <w:tcPr>
            <w:tcW w:w="70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20</w:t>
            </w:r>
          </w:p>
        </w:tc>
        <w:tc>
          <w:tcPr>
            <w:tcW w:w="22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color w:val="auto"/>
                <w:kern w:val="0"/>
                <w:sz w:val="22"/>
                <w:szCs w:val="22"/>
                <w:highlight w:val="none"/>
                <w:lang w:val="en-US" w:eastAsia="zh-CN" w:bidi="ar"/>
              </w:rPr>
            </w:pPr>
            <w:r>
              <w:rPr>
                <w:rFonts w:hint="eastAsia" w:ascii="方正仿宋_GB2312" w:hAnsi="方正仿宋_GB2312" w:eastAsia="方正仿宋_GB2312" w:cs="方正仿宋_GB2312"/>
                <w:color w:val="auto"/>
                <w:kern w:val="0"/>
                <w:sz w:val="22"/>
                <w:szCs w:val="22"/>
                <w:highlight w:val="none"/>
                <w:lang w:val="en-US" w:eastAsia="zh-CN" w:bidi="ar"/>
              </w:rPr>
              <w:t>电子病历模块</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val="en-US" w:eastAsia="zh-CN" w:bidi="ar"/>
              </w:rPr>
              <w:t>（</w:t>
            </w:r>
            <w:r>
              <w:rPr>
                <w:rFonts w:hint="eastAsia" w:ascii="方正仿宋_GB2312" w:hAnsi="方正仿宋_GB2312" w:eastAsia="方正仿宋_GB2312" w:cs="方正仿宋_GB2312"/>
                <w:i w:val="0"/>
                <w:iCs w:val="0"/>
                <w:color w:val="auto"/>
                <w:kern w:val="0"/>
                <w:sz w:val="22"/>
                <w:szCs w:val="22"/>
                <w:highlight w:val="none"/>
                <w:lang w:bidi="ar"/>
              </w:rPr>
              <w:t>支持微信小程序形式</w:t>
            </w:r>
            <w:r>
              <w:rPr>
                <w:rFonts w:hint="eastAsia" w:ascii="方正仿宋_GB2312" w:hAnsi="方正仿宋_GB2312" w:eastAsia="方正仿宋_GB2312" w:cs="方正仿宋_GB2312"/>
                <w:i w:val="0"/>
                <w:iCs w:val="0"/>
                <w:color w:val="auto"/>
                <w:kern w:val="0"/>
                <w:sz w:val="22"/>
                <w:szCs w:val="22"/>
                <w:highlight w:val="none"/>
                <w:lang w:val="en-US" w:eastAsia="zh-CN" w:bidi="ar"/>
              </w:rPr>
              <w:t>查看）</w:t>
            </w:r>
          </w:p>
        </w:tc>
        <w:tc>
          <w:tcPr>
            <w:tcW w:w="4535" w:type="dxa"/>
            <w:vMerge w:val="restart"/>
            <w:tcBorders>
              <w:top w:val="single" w:color="000000" w:sz="4" w:space="0"/>
              <w:left w:val="nil"/>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440" w:firstLineChars="20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2"/>
                <w:sz w:val="22"/>
                <w:szCs w:val="22"/>
                <w:highlight w:val="none"/>
              </w:rPr>
              <w:t xml:space="preserve">医护端是提供给院内医护人员使用的终端，支持微信小程序形式。通过电子病历模块、远程会诊模块。院内专科医生可查看病人院前电子病历信息，便于医护人员了解接诊的病人信息。同时可接收到院内急诊急救团队发送的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r>
              <w:rPr>
                <w:rFonts w:hint="eastAsia" w:ascii="方正仿宋_GB2312" w:hAnsi="方正仿宋_GB2312" w:eastAsia="方正仿宋_GB2312" w:cs="方正仿宋_GB2312"/>
                <w:i w:val="0"/>
                <w:iCs w:val="0"/>
                <w:color w:val="auto"/>
                <w:kern w:val="2"/>
                <w:sz w:val="22"/>
                <w:szCs w:val="22"/>
                <w:highlight w:val="none"/>
              </w:rPr>
              <w:t>视频会诊请求，提高急救效率。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123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c>
          <w:tcPr>
            <w:tcW w:w="70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21</w:t>
            </w:r>
          </w:p>
        </w:tc>
        <w:tc>
          <w:tcPr>
            <w:tcW w:w="22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0" w:firstLineChars="0"/>
              <w:jc w:val="both"/>
              <w:textAlignment w:val="center"/>
              <w:outlineLvl w:val="9"/>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远程会诊模块</w:t>
            </w:r>
            <w:r>
              <w:rPr>
                <w:rFonts w:hint="eastAsia" w:ascii="方正仿宋_GB2312" w:hAnsi="方正仿宋_GB2312" w:eastAsia="方正仿宋_GB2312" w:cs="方正仿宋_GB2312"/>
                <w:color w:val="auto"/>
                <w:kern w:val="0"/>
                <w:sz w:val="22"/>
                <w:szCs w:val="22"/>
                <w:highlight w:val="none"/>
                <w:lang w:val="en-US" w:eastAsia="zh-CN" w:bidi="ar"/>
              </w:rPr>
              <w:t>（</w:t>
            </w:r>
            <w:r>
              <w:rPr>
                <w:rFonts w:hint="eastAsia" w:ascii="方正仿宋_GB2312" w:hAnsi="方正仿宋_GB2312" w:eastAsia="方正仿宋_GB2312" w:cs="方正仿宋_GB2312"/>
                <w:i w:val="0"/>
                <w:iCs w:val="0"/>
                <w:color w:val="auto"/>
                <w:kern w:val="0"/>
                <w:sz w:val="22"/>
                <w:szCs w:val="22"/>
                <w:highlight w:val="none"/>
                <w:lang w:bidi="ar"/>
              </w:rPr>
              <w:t>支持微信小程序形式</w:t>
            </w:r>
            <w:r>
              <w:rPr>
                <w:rFonts w:hint="eastAsia" w:ascii="方正仿宋_GB2312" w:hAnsi="方正仿宋_GB2312" w:eastAsia="方正仿宋_GB2312" w:cs="方正仿宋_GB2312"/>
                <w:i w:val="0"/>
                <w:iCs w:val="0"/>
                <w:color w:val="auto"/>
                <w:kern w:val="0"/>
                <w:sz w:val="22"/>
                <w:szCs w:val="22"/>
                <w:highlight w:val="none"/>
                <w:lang w:val="en-US" w:eastAsia="zh-CN" w:bidi="ar"/>
              </w:rPr>
              <w:t>查看）</w:t>
            </w:r>
          </w:p>
        </w:tc>
        <w:tc>
          <w:tcPr>
            <w:tcW w:w="4535" w:type="dxa"/>
            <w:vMerge w:val="continue"/>
            <w:tcBorders>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left"/>
              <w:textAlignment w:val="center"/>
              <w:outlineLvl w:val="9"/>
              <w:rPr>
                <w:rFonts w:hint="eastAsia" w:ascii="方正仿宋_GB2312" w:hAnsi="方正仿宋_GB2312" w:eastAsia="方正仿宋_GB2312" w:cs="方正仿宋_GB2312"/>
                <w:i w:val="0"/>
                <w:iCs w:val="0"/>
                <w:color w:val="auto"/>
                <w:kern w:val="2"/>
                <w:sz w:val="22"/>
                <w:szCs w:val="22"/>
                <w:highlight w:val="none"/>
              </w:rPr>
            </w:pPr>
          </w:p>
        </w:tc>
      </w:tr>
    </w:tbl>
    <w:p>
      <w:pPr>
        <w:pStyle w:val="14"/>
        <w:ind w:firstLine="0" w:firstLineChars="0"/>
        <w:rPr>
          <w:rFonts w:hint="eastAsia" w:ascii="Times New Roman" w:hAnsi="Times New Roman" w:eastAsia="宋体" w:cs="Times New Roman"/>
          <w:b/>
          <w:color w:val="auto"/>
          <w:highlight w:val="none"/>
          <w:lang w:val="en-US" w:eastAsia="zh-CN"/>
        </w:rPr>
      </w:pPr>
    </w:p>
    <w:p>
      <w:pPr>
        <w:pStyle w:val="14"/>
        <w:ind w:firstLine="482"/>
        <w:rPr>
          <w:rFonts w:hint="eastAsia" w:ascii="Times New Roman" w:hAnsi="Times New Roman" w:eastAsia="宋体" w:cs="Times New Roman"/>
          <w:b/>
          <w:color w:val="auto"/>
          <w:highlight w:val="none"/>
          <w:lang w:val="en-US" w:eastAsia="zh-CN"/>
        </w:rPr>
      </w:pPr>
      <w:r>
        <w:rPr>
          <w:rFonts w:hint="eastAsia" w:ascii="Times New Roman" w:hAnsi="Times New Roman" w:eastAsia="宋体" w:cs="Times New Roman"/>
          <w:b/>
          <w:color w:val="auto"/>
          <w:highlight w:val="none"/>
          <w:lang w:val="en-US" w:eastAsia="zh-CN"/>
        </w:rPr>
        <w:t>三、商务要求</w:t>
      </w:r>
    </w:p>
    <w:tbl>
      <w:tblPr>
        <w:tblStyle w:val="10"/>
        <w:tblW w:w="84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2"/>
        <w:gridCol w:w="6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9" w:hRule="atLeast"/>
        </w:trPr>
        <w:tc>
          <w:tcPr>
            <w:tcW w:w="1692" w:type="dxa"/>
            <w:vAlign w:val="center"/>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cs="Tahoma"/>
                <w:b/>
                <w:bCs/>
                <w:color w:val="auto"/>
                <w:kern w:val="28"/>
                <w:sz w:val="21"/>
                <w:szCs w:val="21"/>
                <w:highlight w:val="none"/>
              </w:rPr>
            </w:pPr>
            <w:r>
              <w:rPr>
                <w:rFonts w:hint="eastAsia" w:cs="Tahoma"/>
                <w:b/>
                <w:bCs/>
                <w:color w:val="auto"/>
                <w:kern w:val="28"/>
                <w:sz w:val="21"/>
                <w:szCs w:val="21"/>
                <w:highlight w:val="none"/>
              </w:rPr>
              <w:t>合同履行期限</w:t>
            </w:r>
          </w:p>
        </w:tc>
        <w:tc>
          <w:tcPr>
            <w:tcW w:w="6733" w:type="dxa"/>
            <w:vAlign w:val="top"/>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自合同生效之日起</w:t>
            </w:r>
            <w:r>
              <w:rPr>
                <w:rFonts w:hint="eastAsia" w:cs="Tahoma"/>
                <w:color w:val="auto"/>
                <w:kern w:val="28"/>
                <w:sz w:val="21"/>
                <w:szCs w:val="21"/>
                <w:highlight w:val="none"/>
                <w:lang w:val="en-US" w:eastAsia="zh-CN"/>
              </w:rPr>
              <w:t>30</w:t>
            </w:r>
            <w:r>
              <w:rPr>
                <w:rFonts w:hint="eastAsia" w:cs="Tahoma"/>
                <w:color w:val="auto"/>
                <w:kern w:val="28"/>
                <w:sz w:val="21"/>
                <w:szCs w:val="21"/>
                <w:highlight w:val="none"/>
                <w:lang w:eastAsia="zh-CN"/>
              </w:rPr>
              <w:t>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92" w:type="dxa"/>
            <w:vAlign w:val="center"/>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cs="Tahoma"/>
                <w:b/>
                <w:bCs/>
                <w:color w:val="auto"/>
                <w:kern w:val="28"/>
                <w:sz w:val="21"/>
                <w:szCs w:val="21"/>
                <w:highlight w:val="none"/>
              </w:rPr>
            </w:pPr>
            <w:r>
              <w:rPr>
                <w:rFonts w:hint="eastAsia" w:cs="Tahoma"/>
                <w:b/>
                <w:bCs/>
                <w:color w:val="auto"/>
                <w:kern w:val="28"/>
                <w:sz w:val="21"/>
                <w:szCs w:val="21"/>
                <w:highlight w:val="none"/>
              </w:rPr>
              <w:t>合同履行地点</w:t>
            </w:r>
          </w:p>
        </w:tc>
        <w:tc>
          <w:tcPr>
            <w:tcW w:w="6733" w:type="dxa"/>
            <w:vAlign w:val="top"/>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92" w:type="dxa"/>
            <w:vAlign w:val="center"/>
          </w:tcPr>
          <w:p>
            <w:pPr>
              <w:pStyle w:val="12"/>
              <w:keepNext w:val="0"/>
              <w:keepLines w:val="0"/>
              <w:pageBreakBefore w:val="0"/>
              <w:suppressLineNumbers w:val="0"/>
              <w:kinsoku/>
              <w:overflowPunct/>
              <w:bidi w:val="0"/>
              <w:spacing w:before="0" w:beforeAutospacing="0" w:after="0" w:afterAutospacing="0" w:line="360" w:lineRule="auto"/>
              <w:ind w:left="0" w:right="0"/>
              <w:jc w:val="center"/>
              <w:rPr>
                <w:rFonts w:hint="eastAsia" w:cs="Tahoma"/>
                <w:b/>
                <w:bCs/>
                <w:color w:val="auto"/>
                <w:kern w:val="28"/>
                <w:sz w:val="21"/>
                <w:szCs w:val="21"/>
                <w:highlight w:val="none"/>
              </w:rPr>
            </w:pPr>
            <w:r>
              <w:rPr>
                <w:rFonts w:hint="eastAsia" w:cs="Tahoma"/>
                <w:b/>
                <w:bCs/>
                <w:color w:val="auto"/>
                <w:kern w:val="28"/>
                <w:sz w:val="21"/>
                <w:szCs w:val="21"/>
                <w:highlight w:val="none"/>
                <w:lang w:eastAsia="zh-CN"/>
              </w:rPr>
              <w:t>响应</w:t>
            </w:r>
            <w:r>
              <w:rPr>
                <w:rFonts w:hint="eastAsia" w:cs="Tahoma"/>
                <w:b/>
                <w:bCs/>
                <w:color w:val="auto"/>
                <w:kern w:val="28"/>
                <w:sz w:val="21"/>
                <w:szCs w:val="21"/>
                <w:highlight w:val="none"/>
              </w:rPr>
              <w:t>有效期</w:t>
            </w:r>
          </w:p>
        </w:tc>
        <w:tc>
          <w:tcPr>
            <w:tcW w:w="6733" w:type="dxa"/>
            <w:vAlign w:val="top"/>
          </w:tcPr>
          <w:p>
            <w:pPr>
              <w:pStyle w:val="12"/>
              <w:keepNext w:val="0"/>
              <w:keepLines w:val="0"/>
              <w:pageBreakBefore w:val="0"/>
              <w:suppressLineNumbers w:val="0"/>
              <w:kinsoku/>
              <w:overflowPunct/>
              <w:bidi w:val="0"/>
              <w:spacing w:before="0" w:beforeAutospacing="0" w:after="0" w:afterAutospacing="0" w:line="360" w:lineRule="auto"/>
              <w:ind w:left="0" w:right="0"/>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从提交响应文件的截止之日起90日历天。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38" w:hRule="atLeast"/>
        </w:trPr>
        <w:tc>
          <w:tcPr>
            <w:tcW w:w="1692" w:type="dxa"/>
            <w:vAlign w:val="center"/>
          </w:tcPr>
          <w:p>
            <w:pPr>
              <w:pStyle w:val="12"/>
              <w:keepNext w:val="0"/>
              <w:keepLines w:val="0"/>
              <w:pageBreakBefore w:val="0"/>
              <w:suppressLineNumbers w:val="0"/>
              <w:kinsoku/>
              <w:overflowPunct/>
              <w:bidi w:val="0"/>
              <w:spacing w:before="0" w:beforeAutospacing="0" w:after="0" w:afterAutospacing="0" w:line="360" w:lineRule="auto"/>
              <w:ind w:left="0" w:right="0"/>
              <w:jc w:val="center"/>
              <w:rPr>
                <w:rFonts w:hint="eastAsia" w:ascii="宋体" w:hAnsi="Times New Roman" w:eastAsia="宋体" w:cs="Tahoma"/>
                <w:color w:val="auto"/>
                <w:kern w:val="28"/>
                <w:sz w:val="21"/>
                <w:szCs w:val="21"/>
                <w:highlight w:val="none"/>
                <w:lang w:val="en-US" w:eastAsia="zh-CN" w:bidi="ar-SA"/>
              </w:rPr>
            </w:pPr>
            <w:r>
              <w:rPr>
                <w:rFonts w:hint="eastAsia" w:ascii="宋体" w:hAnsi="Times New Roman" w:eastAsia="宋体" w:cs="Tahoma"/>
                <w:b/>
                <w:bCs/>
                <w:color w:val="auto"/>
                <w:kern w:val="28"/>
                <w:sz w:val="21"/>
                <w:szCs w:val="21"/>
                <w:highlight w:val="none"/>
                <w:lang w:val="en-US" w:eastAsia="zh-CN" w:bidi="ar-SA"/>
              </w:rPr>
              <w:t>付款方式</w:t>
            </w:r>
          </w:p>
        </w:tc>
        <w:tc>
          <w:tcPr>
            <w:tcW w:w="6733" w:type="dxa"/>
            <w:vAlign w:val="top"/>
          </w:tcPr>
          <w:p>
            <w:pPr>
              <w:pStyle w:val="14"/>
              <w:keepNext w:val="0"/>
              <w:keepLines w:val="0"/>
              <w:pageBreakBefore w:val="0"/>
              <w:suppressLineNumbers w:val="0"/>
              <w:kinsoku/>
              <w:overflowPunct/>
              <w:bidi w:val="0"/>
              <w:spacing w:before="0" w:beforeAutospacing="0" w:after="0" w:afterAutospacing="0" w:line="360" w:lineRule="auto"/>
              <w:ind w:left="0" w:leftChars="0" w:right="0" w:firstLine="0" w:firstLineChars="0"/>
              <w:rPr>
                <w:rFonts w:hint="eastAsia" w:ascii="宋体" w:hAnsi="Times New Roman" w:eastAsia="宋体" w:cs="Tahoma"/>
                <w:color w:val="auto"/>
                <w:kern w:val="28"/>
                <w:sz w:val="21"/>
                <w:szCs w:val="21"/>
                <w:highlight w:val="none"/>
                <w:lang w:val="en-US" w:eastAsia="zh-CN" w:bidi="ar-SA"/>
              </w:rPr>
            </w:pPr>
            <w:r>
              <w:rPr>
                <w:rFonts w:hint="eastAsia" w:ascii="宋体" w:hAnsi="Times New Roman" w:eastAsia="宋体" w:cs="Tahoma"/>
                <w:color w:val="auto"/>
                <w:kern w:val="28"/>
                <w:sz w:val="21"/>
                <w:szCs w:val="21"/>
                <w:highlight w:val="none"/>
                <w:lang w:val="en-US" w:eastAsia="zh-CN" w:bidi="ar-SA"/>
              </w:rPr>
              <w:t>本合同的款项以</w:t>
            </w:r>
            <w:r>
              <w:rPr>
                <w:rFonts w:hint="eastAsia" w:ascii="宋体" w:cs="Tahoma"/>
                <w:color w:val="auto"/>
                <w:kern w:val="28"/>
                <w:sz w:val="21"/>
                <w:szCs w:val="21"/>
                <w:highlight w:val="none"/>
              </w:rPr>
              <w:t>银行转账方式</w:t>
            </w:r>
            <w:bookmarkStart w:id="0" w:name="_GoBack"/>
            <w:bookmarkEnd w:id="0"/>
            <w:r>
              <w:rPr>
                <w:rFonts w:hint="eastAsia" w:ascii="宋体" w:hAnsi="Times New Roman" w:eastAsia="宋体" w:cs="Tahoma"/>
                <w:color w:val="auto"/>
                <w:kern w:val="28"/>
                <w:sz w:val="21"/>
                <w:szCs w:val="21"/>
                <w:highlight w:val="none"/>
                <w:lang w:val="en-US" w:eastAsia="zh-CN" w:bidi="ar-SA"/>
              </w:rPr>
              <w:t>支付</w:t>
            </w:r>
            <w:r>
              <w:rPr>
                <w:rFonts w:hint="eastAsia" w:ascii="宋体" w:cs="Tahoma"/>
                <w:color w:val="auto"/>
                <w:kern w:val="28"/>
                <w:sz w:val="21"/>
                <w:szCs w:val="21"/>
                <w:highlight w:val="none"/>
                <w:lang w:val="en-US" w:eastAsia="zh-CN" w:bidi="ar-SA"/>
              </w:rPr>
              <w:t>：</w:t>
            </w:r>
          </w:p>
          <w:p>
            <w:pPr>
              <w:pStyle w:val="14"/>
              <w:keepNext w:val="0"/>
              <w:keepLines w:val="0"/>
              <w:pageBreakBefore w:val="0"/>
              <w:suppressLineNumbers w:val="0"/>
              <w:kinsoku/>
              <w:overflowPunct/>
              <w:bidi w:val="0"/>
              <w:spacing w:before="0" w:beforeAutospacing="0" w:after="0" w:afterAutospacing="0" w:line="360" w:lineRule="auto"/>
              <w:ind w:left="0" w:leftChars="0" w:right="0" w:firstLine="0" w:firstLineChars="0"/>
              <w:rPr>
                <w:rFonts w:hint="eastAsia" w:ascii="宋体" w:hAnsi="Times New Roman" w:eastAsia="宋体" w:cs="Tahoma"/>
                <w:color w:val="auto"/>
                <w:kern w:val="28"/>
                <w:sz w:val="21"/>
                <w:szCs w:val="21"/>
                <w:highlight w:val="none"/>
                <w:lang w:val="en-US" w:eastAsia="zh-CN" w:bidi="ar-SA"/>
              </w:rPr>
            </w:pPr>
            <w:r>
              <w:rPr>
                <w:rFonts w:hint="eastAsia" w:ascii="宋体" w:hAnsi="Times New Roman" w:eastAsia="宋体" w:cs="Tahoma"/>
                <w:color w:val="auto"/>
                <w:kern w:val="28"/>
                <w:sz w:val="21"/>
                <w:szCs w:val="21"/>
                <w:highlight w:val="none"/>
                <w:lang w:val="en-US" w:eastAsia="zh-CN" w:bidi="ar-SA"/>
              </w:rPr>
              <w:t>（1）完成合同签订，且</w:t>
            </w:r>
            <w:r>
              <w:rPr>
                <w:rFonts w:hint="eastAsia" w:ascii="宋体" w:cs="Tahoma"/>
                <w:color w:val="auto"/>
                <w:kern w:val="28"/>
                <w:sz w:val="21"/>
                <w:szCs w:val="21"/>
                <w:highlight w:val="none"/>
                <w:lang w:val="en-US" w:eastAsia="zh-CN" w:bidi="ar-SA"/>
              </w:rPr>
              <w:t>成交供应商</w:t>
            </w:r>
            <w:r>
              <w:rPr>
                <w:rFonts w:hint="eastAsia" w:ascii="宋体" w:hAnsi="Times New Roman" w:eastAsia="宋体" w:cs="Tahoma"/>
                <w:color w:val="auto"/>
                <w:kern w:val="28"/>
                <w:sz w:val="21"/>
                <w:szCs w:val="21"/>
                <w:highlight w:val="none"/>
                <w:lang w:val="en-US" w:eastAsia="zh-CN" w:bidi="ar-SA"/>
              </w:rPr>
              <w:t>提交支付金额等额发票后30个工作日内，采购人启动支付手续，向</w:t>
            </w:r>
            <w:r>
              <w:rPr>
                <w:rFonts w:hint="eastAsia" w:ascii="宋体" w:cs="Tahoma"/>
                <w:color w:val="auto"/>
                <w:kern w:val="28"/>
                <w:sz w:val="21"/>
                <w:szCs w:val="21"/>
                <w:highlight w:val="none"/>
                <w:lang w:val="en-US" w:eastAsia="zh-CN" w:bidi="ar-SA"/>
              </w:rPr>
              <w:t>成交供应商</w:t>
            </w:r>
            <w:r>
              <w:rPr>
                <w:rFonts w:hint="eastAsia" w:ascii="宋体" w:hAnsi="Times New Roman" w:eastAsia="宋体" w:cs="Tahoma"/>
                <w:color w:val="auto"/>
                <w:kern w:val="28"/>
                <w:sz w:val="21"/>
                <w:szCs w:val="21"/>
                <w:highlight w:val="none"/>
                <w:lang w:val="en-US" w:eastAsia="zh-CN" w:bidi="ar-SA"/>
              </w:rPr>
              <w:t>支付合同款，支付合同总金额的</w:t>
            </w:r>
            <w:r>
              <w:rPr>
                <w:rFonts w:hint="eastAsia" w:ascii="宋体" w:cs="Tahoma"/>
                <w:color w:val="auto"/>
                <w:kern w:val="28"/>
                <w:sz w:val="21"/>
                <w:szCs w:val="21"/>
                <w:highlight w:val="none"/>
                <w:lang w:val="en-US" w:eastAsia="zh-CN" w:bidi="ar-SA"/>
              </w:rPr>
              <w:t>100</w:t>
            </w:r>
            <w:r>
              <w:rPr>
                <w:rFonts w:hint="eastAsia" w:ascii="宋体" w:hAnsi="Times New Roman" w:eastAsia="宋体" w:cs="Tahoma"/>
                <w:color w:val="auto"/>
                <w:kern w:val="28"/>
                <w:sz w:val="21"/>
                <w:szCs w:val="21"/>
                <w:highlight w:val="none"/>
                <w:lang w:val="en-US" w:eastAsia="zh-CN" w:bidi="ar-SA"/>
              </w:rPr>
              <w:t>%</w:t>
            </w:r>
            <w:r>
              <w:rPr>
                <w:rFonts w:hint="eastAsia" w:ascii="宋体" w:cs="Tahoma"/>
                <w:color w:val="auto"/>
                <w:kern w:val="28"/>
                <w:sz w:val="21"/>
                <w:szCs w:val="21"/>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44" w:hRule="atLeast"/>
        </w:trPr>
        <w:tc>
          <w:tcPr>
            <w:tcW w:w="1692" w:type="dxa"/>
            <w:vAlign w:val="center"/>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宋体" w:hAnsi="Times New Roman" w:eastAsia="宋体" w:cs="Tahoma"/>
                <w:b/>
                <w:bCs/>
                <w:color w:val="auto"/>
                <w:kern w:val="28"/>
                <w:sz w:val="21"/>
                <w:szCs w:val="21"/>
                <w:highlight w:val="none"/>
                <w:lang w:val="en-US" w:eastAsia="zh-CN" w:bidi="ar-SA"/>
              </w:rPr>
            </w:pPr>
            <w:r>
              <w:rPr>
                <w:rFonts w:hint="eastAsia" w:cs="Tahoma"/>
                <w:b/>
                <w:bCs/>
                <w:color w:val="auto"/>
                <w:kern w:val="28"/>
                <w:sz w:val="21"/>
                <w:szCs w:val="21"/>
                <w:highlight w:val="none"/>
              </w:rPr>
              <w:t>建设周期和</w:t>
            </w:r>
            <w:r>
              <w:rPr>
                <w:rFonts w:hint="eastAsia" w:cs="Tahoma"/>
                <w:b/>
                <w:bCs/>
                <w:color w:val="auto"/>
                <w:kern w:val="28"/>
                <w:sz w:val="21"/>
                <w:szCs w:val="21"/>
                <w:highlight w:val="none"/>
                <w:lang w:val="en-US" w:eastAsia="zh-CN"/>
              </w:rPr>
              <w:t>服务</w:t>
            </w:r>
            <w:r>
              <w:rPr>
                <w:rFonts w:hint="eastAsia" w:cs="Tahoma"/>
                <w:b/>
                <w:bCs/>
                <w:color w:val="auto"/>
                <w:kern w:val="28"/>
                <w:sz w:val="21"/>
                <w:szCs w:val="21"/>
                <w:highlight w:val="none"/>
              </w:rPr>
              <w:t>期</w:t>
            </w:r>
          </w:p>
        </w:tc>
        <w:tc>
          <w:tcPr>
            <w:tcW w:w="6733" w:type="dxa"/>
            <w:vAlign w:val="center"/>
          </w:tcPr>
          <w:p>
            <w:pPr>
              <w:pStyle w:val="12"/>
              <w:keepNext w:val="0"/>
              <w:keepLines w:val="0"/>
              <w:pageBreakBefore w:val="0"/>
              <w:widowControl w:val="0"/>
              <w:suppressLineNumbers w:val="0"/>
              <w:kinsoku/>
              <w:wordWrap w:val="0"/>
              <w:overflowPunct/>
              <w:topLinePunct/>
              <w:autoSpaceDE/>
              <w:autoSpaceDN/>
              <w:bidi w:val="0"/>
              <w:adjustRightInd w:val="0"/>
              <w:snapToGrid/>
              <w:spacing w:before="0" w:beforeAutospacing="0" w:after="0" w:afterAutospacing="0" w:line="360" w:lineRule="auto"/>
              <w:ind w:left="0" w:leftChars="0" w:right="0" w:rightChars="0"/>
              <w:jc w:val="both"/>
              <w:textAlignment w:val="auto"/>
              <w:rPr>
                <w:rFonts w:hint="eastAsia" w:ascii="宋体" w:hAnsi="Times New Roman" w:eastAsia="宋体" w:cs="Tahoma"/>
                <w:color w:val="auto"/>
                <w:kern w:val="28"/>
                <w:sz w:val="21"/>
                <w:szCs w:val="21"/>
                <w:highlight w:val="none"/>
                <w:lang w:val="en-US" w:eastAsia="zh-CN" w:bidi="ar-SA"/>
              </w:rPr>
            </w:pPr>
            <w:r>
              <w:rPr>
                <w:rFonts w:hint="eastAsia" w:cs="Tahoma"/>
                <w:color w:val="auto"/>
                <w:kern w:val="28"/>
                <w:sz w:val="21"/>
                <w:szCs w:val="21"/>
                <w:highlight w:val="none"/>
                <w:lang w:eastAsia="zh-CN"/>
              </w:rPr>
              <w:t>合同签订后</w:t>
            </w:r>
            <w:r>
              <w:rPr>
                <w:rFonts w:hint="eastAsia" w:cs="Tahoma"/>
                <w:color w:val="auto"/>
                <w:kern w:val="28"/>
                <w:sz w:val="21"/>
                <w:szCs w:val="21"/>
                <w:highlight w:val="none"/>
                <w:lang w:val="en-US" w:eastAsia="zh-CN"/>
              </w:rPr>
              <w:t>2</w:t>
            </w:r>
            <w:r>
              <w:rPr>
                <w:rFonts w:hint="eastAsia" w:cs="Tahoma"/>
                <w:color w:val="auto"/>
                <w:kern w:val="28"/>
                <w:sz w:val="21"/>
                <w:szCs w:val="21"/>
                <w:highlight w:val="none"/>
                <w:lang w:eastAsia="zh-CN"/>
              </w:rPr>
              <w:t>个月内完成系统的上线使用</w:t>
            </w:r>
            <w:r>
              <w:rPr>
                <w:rFonts w:hint="eastAsia" w:cs="Tahoma"/>
                <w:color w:val="auto"/>
                <w:kern w:val="28"/>
                <w:sz w:val="21"/>
                <w:szCs w:val="21"/>
                <w:highlight w:val="none"/>
                <w:lang w:val="en-US" w:eastAsia="zh-CN"/>
              </w:rPr>
              <w:t>及验收</w:t>
            </w:r>
            <w:r>
              <w:rPr>
                <w:rFonts w:hint="eastAsia" w:cs="Tahoma"/>
                <w:color w:val="auto"/>
                <w:kern w:val="28"/>
                <w:sz w:val="21"/>
                <w:szCs w:val="21"/>
                <w:highlight w:val="none"/>
                <w:lang w:eastAsia="zh-CN"/>
              </w:rPr>
              <w:t>，验收后进入</w:t>
            </w:r>
            <w:r>
              <w:rPr>
                <w:rFonts w:hint="eastAsia" w:cs="Tahoma"/>
                <w:color w:val="auto"/>
                <w:kern w:val="28"/>
                <w:sz w:val="21"/>
                <w:szCs w:val="21"/>
                <w:highlight w:val="none"/>
                <w:lang w:val="en-US" w:eastAsia="zh-CN"/>
              </w:rPr>
              <w:t>3年服务期</w:t>
            </w:r>
            <w:r>
              <w:rPr>
                <w:rFonts w:hint="eastAsia" w:cs="Tahoma"/>
                <w:color w:val="auto"/>
                <w:kern w:val="28"/>
                <w:sz w:val="21"/>
                <w:szCs w:val="21"/>
                <w:highlight w:val="none"/>
                <w:lang w:eastAsia="zh-CN"/>
              </w:rPr>
              <w:t>，</w:t>
            </w:r>
            <w:r>
              <w:rPr>
                <w:rFonts w:hint="eastAsia" w:cs="Tahoma"/>
                <w:color w:val="auto"/>
                <w:kern w:val="28"/>
                <w:sz w:val="21"/>
                <w:szCs w:val="21"/>
                <w:highlight w:val="none"/>
                <w:lang w:val="en-US" w:eastAsia="zh-CN"/>
              </w:rPr>
              <w:t>服务</w:t>
            </w:r>
            <w:r>
              <w:rPr>
                <w:rFonts w:hint="eastAsia" w:cs="Tahoma"/>
                <w:color w:val="auto"/>
                <w:kern w:val="28"/>
                <w:sz w:val="21"/>
                <w:szCs w:val="21"/>
                <w:highlight w:val="none"/>
                <w:lang w:eastAsia="zh-CN"/>
              </w:rPr>
              <w:t>时间与合同时间一致。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3" w:hRule="atLeast"/>
        </w:trPr>
        <w:tc>
          <w:tcPr>
            <w:tcW w:w="1692" w:type="dxa"/>
            <w:vAlign w:val="center"/>
          </w:tcPr>
          <w:p>
            <w:pPr>
              <w:pStyle w:val="12"/>
              <w:keepNext w:val="0"/>
              <w:keepLines w:val="0"/>
              <w:pageBreakBefore w:val="0"/>
              <w:suppressLineNumbers w:val="0"/>
              <w:kinsoku/>
              <w:overflowPunct/>
              <w:bidi w:val="0"/>
              <w:spacing w:before="0" w:beforeAutospacing="0" w:after="0" w:afterAutospacing="0" w:line="360" w:lineRule="auto"/>
              <w:ind w:left="0" w:right="0"/>
              <w:jc w:val="center"/>
              <w:rPr>
                <w:rFonts w:hint="eastAsia" w:ascii="宋体" w:hAnsi="Times New Roman" w:eastAsia="宋体" w:cs="Tahoma"/>
                <w:b/>
                <w:bCs/>
                <w:color w:val="auto"/>
                <w:kern w:val="28"/>
                <w:sz w:val="21"/>
                <w:szCs w:val="21"/>
                <w:highlight w:val="none"/>
                <w:lang w:val="en-US" w:eastAsia="zh-CN" w:bidi="ar-SA"/>
              </w:rPr>
            </w:pPr>
            <w:r>
              <w:rPr>
                <w:rFonts w:hint="eastAsia" w:cs="Tahoma"/>
                <w:b/>
                <w:bCs/>
                <w:color w:val="auto"/>
                <w:kern w:val="28"/>
                <w:sz w:val="21"/>
                <w:szCs w:val="21"/>
                <w:highlight w:val="none"/>
                <w:lang w:val="en-US" w:eastAsia="zh-CN"/>
              </w:rPr>
              <w:t>验收</w:t>
            </w:r>
            <w:r>
              <w:rPr>
                <w:rFonts w:hint="eastAsia" w:cs="Tahoma"/>
                <w:b/>
                <w:bCs/>
                <w:color w:val="auto"/>
                <w:kern w:val="28"/>
                <w:sz w:val="21"/>
                <w:szCs w:val="21"/>
                <w:highlight w:val="none"/>
              </w:rPr>
              <w:t>要求</w:t>
            </w:r>
          </w:p>
        </w:tc>
        <w:tc>
          <w:tcPr>
            <w:tcW w:w="6733" w:type="dxa"/>
            <w:vAlign w:val="center"/>
          </w:tcPr>
          <w:p>
            <w:pPr>
              <w:pStyle w:val="12"/>
              <w:keepNext w:val="0"/>
              <w:keepLines w:val="0"/>
              <w:pageBreakBefore w:val="0"/>
              <w:widowControl w:val="0"/>
              <w:suppressLineNumbers w:val="0"/>
              <w:kinsoku/>
              <w:wordWrap w:val="0"/>
              <w:overflowPunct/>
              <w:topLinePunct/>
              <w:autoSpaceDE/>
              <w:autoSpaceDN/>
              <w:bidi w:val="0"/>
              <w:adjustRightInd w:val="0"/>
              <w:snapToGrid/>
              <w:spacing w:before="0" w:beforeAutospacing="0" w:after="0" w:afterAutospacing="0" w:line="360" w:lineRule="auto"/>
              <w:ind w:left="0" w:right="0"/>
              <w:jc w:val="both"/>
              <w:textAlignment w:val="auto"/>
              <w:rPr>
                <w:rFonts w:hint="eastAsia" w:ascii="宋体" w:hAnsi="Times New Roman" w:eastAsia="宋体" w:cs="Tahoma"/>
                <w:color w:val="auto"/>
                <w:kern w:val="28"/>
                <w:sz w:val="21"/>
                <w:szCs w:val="21"/>
                <w:highlight w:val="none"/>
                <w:lang w:val="en-US" w:eastAsia="zh-CN" w:bidi="ar-SA"/>
              </w:rPr>
            </w:pPr>
            <w:r>
              <w:rPr>
                <w:rFonts w:hint="eastAsia" w:cs="Tahoma"/>
                <w:color w:val="auto"/>
                <w:kern w:val="28"/>
                <w:sz w:val="21"/>
                <w:szCs w:val="21"/>
                <w:highlight w:val="none"/>
                <w:lang w:eastAsia="zh-CN"/>
              </w:rPr>
              <w:t>供应商将货物送到采购人指定地点，安装调试后按国家相关标准、行业标准及项目要求进行验收。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59" w:hRule="atLeast"/>
        </w:trPr>
        <w:tc>
          <w:tcPr>
            <w:tcW w:w="1692" w:type="dxa"/>
            <w:vAlign w:val="center"/>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宋体" w:hAnsi="Times New Roman" w:eastAsia="宋体" w:cs="Tahoma"/>
                <w:b/>
                <w:bCs/>
                <w:color w:val="auto"/>
                <w:kern w:val="28"/>
                <w:sz w:val="21"/>
                <w:szCs w:val="21"/>
                <w:highlight w:val="none"/>
                <w:lang w:val="en-US" w:eastAsia="zh-CN" w:bidi="ar-SA"/>
              </w:rPr>
            </w:pPr>
            <w:r>
              <w:rPr>
                <w:rFonts w:hint="eastAsia" w:cs="Tahoma"/>
                <w:b/>
                <w:bCs/>
                <w:color w:val="auto"/>
                <w:kern w:val="28"/>
                <w:sz w:val="21"/>
                <w:szCs w:val="21"/>
                <w:highlight w:val="none"/>
                <w:lang w:val="en-US" w:eastAsia="zh-CN"/>
              </w:rPr>
              <w:t>售后服务要求</w:t>
            </w:r>
          </w:p>
        </w:tc>
        <w:tc>
          <w:tcPr>
            <w:tcW w:w="6733" w:type="dxa"/>
            <w:vAlign w:val="center"/>
          </w:tcPr>
          <w:p>
            <w:pPr>
              <w:pStyle w:val="14"/>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Times New Roman" w:hAnsi="Times New Roman" w:eastAsia="宋体" w:cs="Tahoma"/>
                <w:color w:val="auto"/>
                <w:kern w:val="28"/>
                <w:sz w:val="21"/>
                <w:szCs w:val="21"/>
                <w:highlight w:val="none"/>
                <w:lang w:val="en-US" w:eastAsia="zh-CN" w:bidi="ar-SA"/>
              </w:rPr>
            </w:pPr>
            <w:r>
              <w:rPr>
                <w:rFonts w:hint="eastAsia" w:ascii="宋体" w:hAnsi="Times New Roman" w:cs="Tahoma"/>
                <w:color w:val="auto"/>
                <w:kern w:val="28"/>
                <w:sz w:val="21"/>
                <w:szCs w:val="21"/>
                <w:highlight w:val="none"/>
                <w:lang w:val="en-US" w:eastAsia="zh-CN" w:bidi="ar-SA"/>
              </w:rPr>
              <w:t>供应商</w:t>
            </w:r>
            <w:r>
              <w:rPr>
                <w:rFonts w:hint="eastAsia" w:ascii="宋体" w:hAnsi="Times New Roman" w:eastAsia="宋体" w:cs="Tahoma"/>
                <w:color w:val="auto"/>
                <w:kern w:val="28"/>
                <w:sz w:val="21"/>
                <w:szCs w:val="21"/>
                <w:highlight w:val="none"/>
                <w:lang w:val="en-US" w:eastAsia="zh-CN" w:bidi="ar-SA"/>
              </w:rPr>
              <w:t>提供7×24小时电话支持、远程技术支持服务，日常问题</w:t>
            </w:r>
            <w:r>
              <w:rPr>
                <w:rFonts w:hint="eastAsia" w:ascii="宋体" w:cs="Tahoma"/>
                <w:color w:val="auto"/>
                <w:kern w:val="28"/>
                <w:sz w:val="21"/>
                <w:szCs w:val="21"/>
                <w:highlight w:val="none"/>
                <w:lang w:val="en-US" w:eastAsia="zh-CN" w:bidi="ar-SA"/>
              </w:rPr>
              <w:t>有效</w:t>
            </w:r>
            <w:r>
              <w:rPr>
                <w:rFonts w:hint="eastAsia" w:ascii="宋体" w:hAnsi="Times New Roman" w:eastAsia="宋体" w:cs="Tahoma"/>
                <w:color w:val="auto"/>
                <w:kern w:val="28"/>
                <w:sz w:val="21"/>
                <w:szCs w:val="21"/>
                <w:highlight w:val="none"/>
                <w:lang w:val="en-US" w:eastAsia="zh-CN" w:bidi="ar-SA"/>
              </w:rPr>
              <w:t>响应时间不能超过</w:t>
            </w:r>
            <w:r>
              <w:rPr>
                <w:rFonts w:hint="eastAsia" w:ascii="宋体" w:cs="Tahoma"/>
                <w:color w:val="auto"/>
                <w:kern w:val="28"/>
                <w:sz w:val="21"/>
                <w:szCs w:val="21"/>
                <w:highlight w:val="none"/>
                <w:lang w:val="en-US" w:eastAsia="zh-CN" w:bidi="ar-SA"/>
              </w:rPr>
              <w:t>2</w:t>
            </w:r>
            <w:r>
              <w:rPr>
                <w:rFonts w:hint="eastAsia" w:ascii="宋体" w:hAnsi="Times New Roman" w:eastAsia="宋体" w:cs="Tahoma"/>
                <w:color w:val="auto"/>
                <w:kern w:val="28"/>
                <w:sz w:val="21"/>
                <w:szCs w:val="21"/>
                <w:highlight w:val="none"/>
                <w:lang w:val="en-US" w:eastAsia="zh-CN" w:bidi="ar-SA"/>
              </w:rPr>
              <w:t>小时。系统出现不能使用或严重影响使用故障，超过</w:t>
            </w:r>
            <w:r>
              <w:rPr>
                <w:rFonts w:hint="eastAsia" w:ascii="宋体" w:cs="Tahoma"/>
                <w:color w:val="auto"/>
                <w:kern w:val="28"/>
                <w:sz w:val="21"/>
                <w:szCs w:val="21"/>
                <w:highlight w:val="none"/>
                <w:lang w:val="en-US" w:eastAsia="zh-CN" w:bidi="ar-SA"/>
              </w:rPr>
              <w:t>2</w:t>
            </w:r>
            <w:r>
              <w:rPr>
                <w:rFonts w:hint="eastAsia" w:ascii="宋体" w:hAnsi="Times New Roman" w:eastAsia="宋体" w:cs="Tahoma"/>
                <w:color w:val="auto"/>
                <w:kern w:val="28"/>
                <w:sz w:val="21"/>
                <w:szCs w:val="21"/>
                <w:highlight w:val="none"/>
                <w:lang w:val="en-US" w:eastAsia="zh-CN" w:bidi="ar-SA"/>
              </w:rPr>
              <w:t>小时以上无法远程解决</w:t>
            </w:r>
            <w:r>
              <w:rPr>
                <w:rFonts w:hint="eastAsia" w:ascii="宋体" w:cs="Tahoma"/>
                <w:color w:val="auto"/>
                <w:kern w:val="28"/>
                <w:sz w:val="21"/>
                <w:szCs w:val="21"/>
                <w:highlight w:val="none"/>
                <w:lang w:val="en-US" w:eastAsia="zh-CN" w:bidi="ar-SA"/>
              </w:rPr>
              <w:t>的</w:t>
            </w:r>
            <w:r>
              <w:rPr>
                <w:rFonts w:hint="eastAsia" w:ascii="宋体" w:hAnsi="Times New Roman" w:eastAsia="宋体" w:cs="Tahoma"/>
                <w:color w:val="auto"/>
                <w:kern w:val="28"/>
                <w:sz w:val="21"/>
                <w:szCs w:val="21"/>
                <w:highlight w:val="none"/>
                <w:lang w:val="en-US" w:eastAsia="zh-CN" w:bidi="ar-SA"/>
              </w:rPr>
              <w:t>，</w:t>
            </w:r>
            <w:r>
              <w:rPr>
                <w:rFonts w:hint="eastAsia" w:ascii="宋体" w:eastAsia="宋体" w:cs="Tahoma"/>
                <w:color w:val="auto"/>
                <w:kern w:val="28"/>
                <w:sz w:val="21"/>
                <w:szCs w:val="21"/>
                <w:highlight w:val="none"/>
                <w:lang w:val="en-US" w:eastAsia="zh-CN" w:bidi="ar-SA"/>
              </w:rPr>
              <w:t>成交供应商</w:t>
            </w:r>
            <w:r>
              <w:rPr>
                <w:rFonts w:hint="eastAsia" w:ascii="宋体" w:hAnsi="Times New Roman" w:eastAsia="宋体" w:cs="Tahoma"/>
                <w:color w:val="auto"/>
                <w:kern w:val="28"/>
                <w:sz w:val="21"/>
                <w:szCs w:val="21"/>
                <w:highlight w:val="none"/>
                <w:lang w:val="en-US" w:eastAsia="zh-CN" w:bidi="ar-SA"/>
              </w:rPr>
              <w:t>工程师需在</w:t>
            </w:r>
            <w:r>
              <w:rPr>
                <w:rFonts w:hint="eastAsia" w:ascii="宋体" w:cs="Tahoma"/>
                <w:color w:val="auto"/>
                <w:kern w:val="28"/>
                <w:sz w:val="21"/>
                <w:szCs w:val="21"/>
                <w:highlight w:val="none"/>
                <w:lang w:val="en-US" w:eastAsia="zh-CN" w:bidi="ar-SA"/>
              </w:rPr>
              <w:t>24</w:t>
            </w:r>
            <w:r>
              <w:rPr>
                <w:rFonts w:hint="eastAsia" w:ascii="宋体" w:hAnsi="Times New Roman" w:eastAsia="宋体" w:cs="Tahoma"/>
                <w:color w:val="auto"/>
                <w:kern w:val="28"/>
                <w:sz w:val="21"/>
                <w:szCs w:val="21"/>
                <w:highlight w:val="none"/>
                <w:lang w:val="en-US" w:eastAsia="zh-CN" w:bidi="ar-SA"/>
              </w:rPr>
              <w:t>小时内到达现场解决。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92" w:type="dxa"/>
            <w:vAlign w:val="center"/>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宋体" w:hAnsi="Times New Roman" w:eastAsia="宋体" w:cs="Tahoma"/>
                <w:color w:val="auto"/>
                <w:kern w:val="28"/>
                <w:sz w:val="21"/>
                <w:szCs w:val="21"/>
                <w:highlight w:val="none"/>
                <w:lang w:val="en-US" w:eastAsia="zh-CN" w:bidi="ar-SA"/>
              </w:rPr>
            </w:pPr>
            <w:r>
              <w:rPr>
                <w:rFonts w:hint="eastAsia" w:ascii="宋体" w:hAnsi="Times New Roman" w:eastAsia="宋体" w:cs="Tahoma"/>
                <w:b/>
                <w:bCs/>
                <w:color w:val="auto"/>
                <w:kern w:val="28"/>
                <w:sz w:val="21"/>
                <w:szCs w:val="21"/>
                <w:highlight w:val="none"/>
                <w:lang w:val="en-US" w:eastAsia="zh-CN" w:bidi="ar-SA"/>
              </w:rPr>
              <w:t>培训要求</w:t>
            </w:r>
          </w:p>
        </w:tc>
        <w:tc>
          <w:tcPr>
            <w:tcW w:w="6733" w:type="dxa"/>
            <w:vAlign w:val="center"/>
          </w:tcPr>
          <w:p>
            <w:pPr>
              <w:pStyle w:val="14"/>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宋体" w:hAnsi="Times New Roman" w:eastAsia="宋体" w:cs="Tahoma"/>
                <w:color w:val="auto"/>
                <w:kern w:val="28"/>
                <w:sz w:val="21"/>
                <w:szCs w:val="21"/>
                <w:highlight w:val="none"/>
                <w:lang w:val="en-US" w:eastAsia="zh-CN" w:bidi="ar-SA"/>
              </w:rPr>
            </w:pPr>
            <w:r>
              <w:rPr>
                <w:rFonts w:hint="eastAsia" w:ascii="宋体" w:hAnsi="Times New Roman" w:eastAsia="宋体" w:cs="Tahoma"/>
                <w:color w:val="auto"/>
                <w:kern w:val="28"/>
                <w:sz w:val="21"/>
                <w:szCs w:val="21"/>
                <w:highlight w:val="none"/>
                <w:lang w:val="en-US" w:eastAsia="zh-CN" w:bidi="ar-SA"/>
              </w:rPr>
              <w:t>供应商应提供相应的应用软件技术和系统操作等方面的培训。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92" w:type="dxa"/>
            <w:vAlign w:val="center"/>
          </w:tcPr>
          <w:p>
            <w:pPr>
              <w:pStyle w:val="12"/>
              <w:keepNext w:val="0"/>
              <w:keepLines w:val="0"/>
              <w:pageBreakBefore w:val="0"/>
              <w:suppressLineNumbers w:val="0"/>
              <w:kinsoku/>
              <w:overflowPunct/>
              <w:bidi w:val="0"/>
              <w:spacing w:before="0" w:beforeAutospacing="0" w:after="0" w:afterAutospacing="0" w:line="360" w:lineRule="auto"/>
              <w:ind w:left="0" w:right="0"/>
              <w:jc w:val="center"/>
              <w:rPr>
                <w:rFonts w:hint="eastAsia" w:cs="Tahoma"/>
                <w:b/>
                <w:bCs/>
                <w:color w:val="auto"/>
                <w:kern w:val="28"/>
                <w:sz w:val="21"/>
                <w:szCs w:val="21"/>
                <w:highlight w:val="none"/>
              </w:rPr>
            </w:pPr>
            <w:r>
              <w:rPr>
                <w:rFonts w:hint="eastAsia" w:cs="Tahoma"/>
                <w:b/>
                <w:bCs/>
                <w:color w:val="auto"/>
                <w:kern w:val="28"/>
                <w:sz w:val="21"/>
                <w:szCs w:val="21"/>
                <w:highlight w:val="none"/>
              </w:rPr>
              <w:t>履约保证金</w:t>
            </w:r>
          </w:p>
        </w:tc>
        <w:tc>
          <w:tcPr>
            <w:tcW w:w="6733" w:type="dxa"/>
            <w:vAlign w:val="center"/>
          </w:tcPr>
          <w:p>
            <w:pPr>
              <w:pStyle w:val="12"/>
              <w:keepNext w:val="0"/>
              <w:keepLines w:val="0"/>
              <w:pageBreakBefore w:val="0"/>
              <w:suppressLineNumbers w:val="0"/>
              <w:kinsoku/>
              <w:overflowPunct/>
              <w:bidi w:val="0"/>
              <w:spacing w:before="0" w:beforeAutospacing="0" w:after="0" w:afterAutospacing="0" w:line="360" w:lineRule="auto"/>
              <w:ind w:left="0" w:right="0"/>
              <w:jc w:val="both"/>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不收取。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92" w:type="dxa"/>
            <w:vAlign w:val="center"/>
          </w:tcPr>
          <w:p>
            <w:pPr>
              <w:keepNext w:val="0"/>
              <w:keepLines w:val="0"/>
              <w:pageBreakBefore w:val="0"/>
              <w:widowControl/>
              <w:suppressLineNumbers w:val="0"/>
              <w:tabs>
                <w:tab w:val="left" w:pos="636"/>
              </w:tabs>
              <w:kinsoku/>
              <w:overflowPunct/>
              <w:autoSpaceDE w:val="0"/>
              <w:autoSpaceDN w:val="0"/>
              <w:bidi w:val="0"/>
              <w:spacing w:before="0" w:beforeAutospacing="0" w:after="0" w:afterAutospacing="0" w:line="360" w:lineRule="auto"/>
              <w:ind w:left="0" w:right="0"/>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highlight w:val="none"/>
                <w:lang w:val="en-US" w:eastAsia="zh-CN"/>
              </w:rPr>
              <w:t>报价说明</w:t>
            </w:r>
          </w:p>
        </w:tc>
        <w:tc>
          <w:tcPr>
            <w:tcW w:w="6733" w:type="dxa"/>
            <w:vAlign w:val="center"/>
          </w:tcPr>
          <w:p>
            <w:pPr>
              <w:keepNext w:val="0"/>
              <w:keepLines w:val="0"/>
              <w:widowControl/>
              <w:suppressLineNumbers w:val="0"/>
              <w:spacing w:before="0" w:beforeAutospacing="0" w:after="0" w:afterAutospacing="0" w:line="360" w:lineRule="auto"/>
              <w:ind w:left="0" w:right="0"/>
              <w:jc w:val="both"/>
              <w:rPr>
                <w:rFonts w:hint="eastAsia" w:cs="Tahoma"/>
                <w:color w:val="000000"/>
                <w:kern w:val="28"/>
                <w:sz w:val="21"/>
                <w:szCs w:val="21"/>
                <w:highlight w:val="none"/>
                <w:lang w:eastAsia="zh-CN"/>
              </w:rPr>
            </w:pPr>
            <w:r>
              <w:rPr>
                <w:rFonts w:hint="eastAsia" w:ascii="宋体" w:hAnsi="宋体" w:eastAsia="宋体" w:cs="宋体"/>
                <w:b w:val="0"/>
                <w:bCs w:val="0"/>
                <w:color w:val="auto"/>
                <w:spacing w:val="-3"/>
                <w:sz w:val="21"/>
                <w:szCs w:val="21"/>
                <w:highlight w:val="none"/>
                <w:lang w:val="en-US" w:eastAsia="zh-CN"/>
              </w:rPr>
              <w:t>本项目</w:t>
            </w:r>
            <w:r>
              <w:rPr>
                <w:rFonts w:hint="eastAsia" w:ascii="宋体" w:hAnsi="宋体" w:eastAsia="宋体" w:cs="宋体"/>
                <w:b w:val="0"/>
                <w:bCs w:val="0"/>
                <w:color w:val="auto"/>
                <w:spacing w:val="-3"/>
                <w:sz w:val="21"/>
                <w:szCs w:val="21"/>
                <w:highlight w:val="none"/>
              </w:rPr>
              <w:t>报价</w:t>
            </w:r>
            <w:r>
              <w:rPr>
                <w:rFonts w:hint="eastAsia" w:ascii="宋体" w:hAnsi="宋体" w:eastAsia="宋体" w:cs="宋体"/>
                <w:b w:val="0"/>
                <w:bCs w:val="0"/>
                <w:color w:val="auto"/>
                <w:spacing w:val="-3"/>
                <w:szCs w:val="21"/>
                <w:highlight w:val="none"/>
              </w:rPr>
              <w:t>包</w:t>
            </w:r>
            <w:r>
              <w:rPr>
                <w:rFonts w:hint="eastAsia" w:ascii="宋体" w:hAnsi="宋体" w:eastAsia="宋体" w:cs="宋体"/>
                <w:b w:val="0"/>
                <w:bCs w:val="0"/>
                <w:color w:val="auto"/>
                <w:spacing w:val="-3"/>
                <w:szCs w:val="21"/>
                <w:highlight w:val="none"/>
                <w:lang w:val="en-US" w:eastAsia="zh-CN"/>
              </w:rPr>
              <w:t>含建设期及</w:t>
            </w:r>
            <w:r>
              <w:rPr>
                <w:rFonts w:hint="eastAsia" w:ascii="宋体" w:hAnsi="宋体" w:cs="宋体"/>
                <w:b w:val="0"/>
                <w:bCs w:val="0"/>
                <w:color w:val="auto"/>
                <w:spacing w:val="-3"/>
                <w:szCs w:val="21"/>
                <w:highlight w:val="none"/>
                <w:lang w:val="en-US" w:eastAsia="zh-CN"/>
              </w:rPr>
              <w:t>服务</w:t>
            </w:r>
            <w:r>
              <w:rPr>
                <w:rFonts w:hint="eastAsia" w:ascii="宋体" w:hAnsi="宋体" w:eastAsia="宋体" w:cs="宋体"/>
                <w:b w:val="0"/>
                <w:bCs w:val="0"/>
                <w:color w:val="auto"/>
                <w:spacing w:val="-3"/>
                <w:szCs w:val="21"/>
                <w:highlight w:val="none"/>
                <w:lang w:val="en-US" w:eastAsia="zh-CN"/>
              </w:rPr>
              <w:t>期内涉及的所有技术相关费用、知识产权</w:t>
            </w:r>
            <w:r>
              <w:rPr>
                <w:rFonts w:hint="eastAsia" w:ascii="宋体" w:hAnsi="宋体" w:eastAsia="宋体" w:cs="宋体"/>
                <w:b w:val="0"/>
                <w:bCs w:val="0"/>
                <w:color w:val="auto"/>
                <w:spacing w:val="-3"/>
                <w:szCs w:val="21"/>
                <w:highlight w:val="none"/>
              </w:rPr>
              <w:t>、税费</w:t>
            </w:r>
            <w:r>
              <w:rPr>
                <w:rFonts w:hint="eastAsia" w:ascii="宋体" w:hAnsi="宋体" w:eastAsia="宋体" w:cs="宋体"/>
                <w:b w:val="0"/>
                <w:bCs w:val="0"/>
                <w:color w:val="auto"/>
                <w:spacing w:val="-3"/>
                <w:szCs w:val="21"/>
                <w:highlight w:val="none"/>
                <w:lang w:eastAsia="zh-CN"/>
              </w:rPr>
              <w:t>、</w:t>
            </w:r>
            <w:r>
              <w:rPr>
                <w:rFonts w:hint="eastAsia" w:ascii="宋体" w:hAnsi="宋体" w:eastAsia="宋体" w:cs="宋体"/>
                <w:b w:val="0"/>
                <w:bCs w:val="0"/>
                <w:color w:val="auto"/>
                <w:spacing w:val="-3"/>
                <w:szCs w:val="21"/>
                <w:highlight w:val="none"/>
                <w:lang w:val="en-US" w:eastAsia="zh-CN"/>
              </w:rPr>
              <w:t>专利</w:t>
            </w:r>
            <w:r>
              <w:rPr>
                <w:rFonts w:hint="eastAsia" w:ascii="宋体" w:hAnsi="宋体" w:eastAsia="宋体" w:cs="宋体"/>
                <w:b w:val="0"/>
                <w:bCs w:val="0"/>
                <w:color w:val="auto"/>
                <w:spacing w:val="-3"/>
                <w:szCs w:val="21"/>
                <w:highlight w:val="none"/>
              </w:rPr>
              <w:t>、</w:t>
            </w:r>
            <w:r>
              <w:rPr>
                <w:rFonts w:hint="eastAsia" w:ascii="宋体" w:hAnsi="宋体" w:eastAsia="宋体" w:cs="宋体"/>
                <w:b w:val="0"/>
                <w:bCs w:val="0"/>
                <w:color w:val="auto"/>
                <w:spacing w:val="-3"/>
                <w:szCs w:val="21"/>
                <w:highlight w:val="none"/>
                <w:lang w:val="en-US" w:eastAsia="zh-CN"/>
              </w:rPr>
              <w:t>货物成本、运输、安装、调试</w:t>
            </w:r>
            <w:r>
              <w:rPr>
                <w:rFonts w:hint="eastAsia" w:ascii="宋体" w:hAnsi="宋体" w:eastAsia="宋体" w:cs="宋体"/>
                <w:b w:val="0"/>
                <w:bCs w:val="0"/>
                <w:color w:val="auto"/>
                <w:spacing w:val="-3"/>
                <w:szCs w:val="21"/>
                <w:highlight w:val="none"/>
              </w:rPr>
              <w:t>、</w:t>
            </w:r>
            <w:r>
              <w:rPr>
                <w:rFonts w:hint="eastAsia" w:ascii="宋体" w:hAnsi="宋体" w:eastAsia="宋体" w:cs="宋体"/>
                <w:b w:val="0"/>
                <w:bCs w:val="0"/>
                <w:color w:val="auto"/>
                <w:spacing w:val="-3"/>
                <w:szCs w:val="21"/>
                <w:highlight w:val="none"/>
                <w:lang w:val="en-US" w:eastAsia="zh-CN"/>
              </w:rPr>
              <w:t>人工、</w:t>
            </w:r>
            <w:r>
              <w:rPr>
                <w:rFonts w:hint="eastAsia" w:ascii="宋体" w:hAnsi="宋体" w:eastAsia="宋体" w:cs="宋体"/>
                <w:b w:val="0"/>
                <w:bCs w:val="0"/>
                <w:color w:val="auto"/>
                <w:spacing w:val="-3"/>
                <w:szCs w:val="21"/>
                <w:highlight w:val="none"/>
              </w:rPr>
              <w:t>培训、验收等</w:t>
            </w:r>
            <w:r>
              <w:rPr>
                <w:rFonts w:hint="eastAsia" w:ascii="宋体" w:hAnsi="宋体" w:eastAsia="宋体" w:cs="宋体"/>
                <w:b w:val="0"/>
                <w:bCs w:val="0"/>
                <w:color w:val="auto"/>
                <w:spacing w:val="-3"/>
                <w:szCs w:val="21"/>
                <w:highlight w:val="none"/>
                <w:lang w:val="en-US" w:eastAsia="zh-CN"/>
              </w:rPr>
              <w:t>所有</w:t>
            </w:r>
            <w:r>
              <w:rPr>
                <w:rFonts w:hint="eastAsia" w:ascii="宋体" w:hAnsi="宋体" w:eastAsia="宋体" w:cs="宋体"/>
                <w:b w:val="0"/>
                <w:bCs w:val="0"/>
                <w:color w:val="auto"/>
                <w:spacing w:val="-3"/>
                <w:szCs w:val="21"/>
                <w:highlight w:val="none"/>
              </w:rPr>
              <w:t>完成</w:t>
            </w:r>
            <w:r>
              <w:rPr>
                <w:rFonts w:hint="eastAsia" w:ascii="宋体" w:hAnsi="宋体" w:eastAsia="宋体" w:cs="宋体"/>
                <w:b w:val="0"/>
                <w:bCs w:val="0"/>
                <w:color w:val="auto"/>
                <w:spacing w:val="-3"/>
                <w:szCs w:val="21"/>
                <w:highlight w:val="none"/>
                <w:lang w:eastAsia="zh-CN"/>
              </w:rPr>
              <w:t>采购</w:t>
            </w:r>
            <w:r>
              <w:rPr>
                <w:rFonts w:hint="eastAsia" w:ascii="宋体" w:hAnsi="宋体" w:eastAsia="宋体" w:cs="宋体"/>
                <w:b w:val="0"/>
                <w:bCs w:val="0"/>
                <w:color w:val="auto"/>
                <w:spacing w:val="-3"/>
                <w:szCs w:val="21"/>
                <w:highlight w:val="none"/>
              </w:rPr>
              <w:t>内容所需的</w:t>
            </w:r>
            <w:r>
              <w:rPr>
                <w:rFonts w:hint="eastAsia" w:ascii="宋体" w:hAnsi="宋体" w:eastAsia="宋体" w:cs="宋体"/>
                <w:b w:val="0"/>
                <w:bCs w:val="0"/>
                <w:color w:val="auto"/>
                <w:spacing w:val="-3"/>
                <w:szCs w:val="21"/>
                <w:highlight w:val="none"/>
                <w:lang w:val="en-US" w:eastAsia="zh-CN"/>
              </w:rPr>
              <w:t>含税</w:t>
            </w:r>
            <w:r>
              <w:rPr>
                <w:rFonts w:hint="eastAsia" w:ascii="宋体" w:hAnsi="宋体" w:eastAsia="宋体" w:cs="宋体"/>
                <w:b w:val="0"/>
                <w:bCs w:val="0"/>
                <w:color w:val="auto"/>
                <w:spacing w:val="-3"/>
                <w:szCs w:val="21"/>
                <w:highlight w:val="none"/>
              </w:rPr>
              <w:t>费用</w:t>
            </w:r>
            <w:r>
              <w:rPr>
                <w:rFonts w:hint="eastAsia" w:ascii="宋体" w:hAnsi="宋体" w:eastAsia="宋体" w:cs="宋体"/>
                <w:b w:val="0"/>
                <w:bCs w:val="0"/>
                <w:color w:val="auto"/>
                <w:spacing w:val="-3"/>
                <w:szCs w:val="21"/>
                <w:highlight w:val="none"/>
                <w:lang w:eastAsia="zh-CN"/>
              </w:rPr>
              <w:t>，</w:t>
            </w:r>
            <w:r>
              <w:rPr>
                <w:rFonts w:hint="eastAsia" w:ascii="宋体" w:hAnsi="宋体" w:eastAsia="宋体" w:cs="宋体"/>
                <w:b w:val="0"/>
                <w:bCs w:val="0"/>
                <w:color w:val="auto"/>
                <w:spacing w:val="-3"/>
                <w:szCs w:val="21"/>
                <w:highlight w:val="none"/>
                <w:lang w:val="en-US" w:eastAsia="zh-CN"/>
              </w:rPr>
              <w:t>项目实施及合同履行期间采购人不再额外支付其他任何费用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eastAsia="zh-CN"/>
              </w:rPr>
              <w:t>对所有内容进行</w:t>
            </w:r>
            <w:r>
              <w:rPr>
                <w:rFonts w:hint="eastAsia" w:ascii="宋体" w:hAnsi="宋体" w:eastAsia="宋体" w:cs="宋体"/>
                <w:b/>
                <w:bCs/>
                <w:color w:val="auto"/>
                <w:sz w:val="21"/>
                <w:szCs w:val="21"/>
                <w:highlight w:val="none"/>
                <w:lang w:val="en-US" w:eastAsia="zh-CN"/>
              </w:rPr>
              <w:t>一次性</w:t>
            </w:r>
            <w:r>
              <w:rPr>
                <w:rFonts w:hint="eastAsia" w:ascii="宋体" w:hAnsi="宋体" w:eastAsia="宋体" w:cs="宋体"/>
                <w:b/>
                <w:bCs/>
                <w:color w:val="auto"/>
                <w:sz w:val="21"/>
                <w:szCs w:val="21"/>
                <w:highlight w:val="none"/>
                <w:lang w:eastAsia="zh-CN"/>
              </w:rPr>
              <w:t>报价</w:t>
            </w:r>
            <w:r>
              <w:rPr>
                <w:rFonts w:hint="eastAsia" w:ascii="宋体" w:hAnsi="宋体" w:eastAsia="宋体" w:cs="宋体"/>
                <w:color w:val="auto"/>
                <w:sz w:val="21"/>
                <w:szCs w:val="21"/>
                <w:highlight w:val="none"/>
                <w:lang w:eastAsia="zh-CN"/>
              </w:rPr>
              <w:t>。</w:t>
            </w:r>
          </w:p>
        </w:tc>
      </w:tr>
    </w:tbl>
    <w:p>
      <w:pPr>
        <w:rPr>
          <w:color w:val="auto"/>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172A27"/>
    <w:rsid w:val="00506D12"/>
    <w:rsid w:val="007363B2"/>
    <w:rsid w:val="00B71F65"/>
    <w:rsid w:val="00CA613C"/>
    <w:rsid w:val="011C2BC5"/>
    <w:rsid w:val="013E4434"/>
    <w:rsid w:val="01CE57B8"/>
    <w:rsid w:val="01F760C7"/>
    <w:rsid w:val="026305F6"/>
    <w:rsid w:val="02644444"/>
    <w:rsid w:val="03305C7C"/>
    <w:rsid w:val="03403367"/>
    <w:rsid w:val="036A59B4"/>
    <w:rsid w:val="03E06E79"/>
    <w:rsid w:val="04194CE4"/>
    <w:rsid w:val="041D3215"/>
    <w:rsid w:val="04666BC2"/>
    <w:rsid w:val="04FC2564"/>
    <w:rsid w:val="050424F5"/>
    <w:rsid w:val="051756C8"/>
    <w:rsid w:val="05941873"/>
    <w:rsid w:val="059B1186"/>
    <w:rsid w:val="064E6D25"/>
    <w:rsid w:val="06FE6B3F"/>
    <w:rsid w:val="07CD4764"/>
    <w:rsid w:val="07D57174"/>
    <w:rsid w:val="08777DF5"/>
    <w:rsid w:val="091837BC"/>
    <w:rsid w:val="09322AD0"/>
    <w:rsid w:val="09CB082F"/>
    <w:rsid w:val="0ABF5171"/>
    <w:rsid w:val="0B586502"/>
    <w:rsid w:val="0B9E60F0"/>
    <w:rsid w:val="0BDE4E85"/>
    <w:rsid w:val="0C0F0BAE"/>
    <w:rsid w:val="0C4274CE"/>
    <w:rsid w:val="0D02766C"/>
    <w:rsid w:val="0E0A14B8"/>
    <w:rsid w:val="0E2C7807"/>
    <w:rsid w:val="0E4137B5"/>
    <w:rsid w:val="0E77579C"/>
    <w:rsid w:val="0ECE5049"/>
    <w:rsid w:val="0ED42D25"/>
    <w:rsid w:val="0EE7610B"/>
    <w:rsid w:val="0F3922B5"/>
    <w:rsid w:val="0FCC3993"/>
    <w:rsid w:val="102E102C"/>
    <w:rsid w:val="103B4960"/>
    <w:rsid w:val="10A047C3"/>
    <w:rsid w:val="10C8579F"/>
    <w:rsid w:val="10EC7A09"/>
    <w:rsid w:val="113F658E"/>
    <w:rsid w:val="116A4DD1"/>
    <w:rsid w:val="116A5271"/>
    <w:rsid w:val="116E479B"/>
    <w:rsid w:val="12FD532F"/>
    <w:rsid w:val="13180371"/>
    <w:rsid w:val="1351449B"/>
    <w:rsid w:val="13D604FC"/>
    <w:rsid w:val="13E26EA1"/>
    <w:rsid w:val="144731A8"/>
    <w:rsid w:val="144C07BE"/>
    <w:rsid w:val="14504752"/>
    <w:rsid w:val="14510446"/>
    <w:rsid w:val="14583F1C"/>
    <w:rsid w:val="14900FF3"/>
    <w:rsid w:val="14C10CA0"/>
    <w:rsid w:val="152C0D1B"/>
    <w:rsid w:val="15447579"/>
    <w:rsid w:val="15B47D77"/>
    <w:rsid w:val="15D078F9"/>
    <w:rsid w:val="167C0D32"/>
    <w:rsid w:val="16B34B25"/>
    <w:rsid w:val="179D7CAF"/>
    <w:rsid w:val="183F0D66"/>
    <w:rsid w:val="18A40BC9"/>
    <w:rsid w:val="18BF5A03"/>
    <w:rsid w:val="18F2402A"/>
    <w:rsid w:val="19067AD5"/>
    <w:rsid w:val="19CE23A1"/>
    <w:rsid w:val="1A463554"/>
    <w:rsid w:val="1A61454A"/>
    <w:rsid w:val="1A8F7469"/>
    <w:rsid w:val="1AE17E2F"/>
    <w:rsid w:val="1B50523B"/>
    <w:rsid w:val="1B852F33"/>
    <w:rsid w:val="1C186942"/>
    <w:rsid w:val="1D0C72F2"/>
    <w:rsid w:val="1D2E3157"/>
    <w:rsid w:val="1D74500E"/>
    <w:rsid w:val="1DBB4BA7"/>
    <w:rsid w:val="1E1C7453"/>
    <w:rsid w:val="1E8C72C6"/>
    <w:rsid w:val="1EB21A9C"/>
    <w:rsid w:val="1ECE7A8E"/>
    <w:rsid w:val="1EEB05E5"/>
    <w:rsid w:val="1EF3606E"/>
    <w:rsid w:val="1FED554B"/>
    <w:rsid w:val="206C2914"/>
    <w:rsid w:val="206F2211"/>
    <w:rsid w:val="20894ECA"/>
    <w:rsid w:val="208C08C0"/>
    <w:rsid w:val="20AA2B83"/>
    <w:rsid w:val="213C0ED8"/>
    <w:rsid w:val="218B6DCA"/>
    <w:rsid w:val="21C1459A"/>
    <w:rsid w:val="22657436"/>
    <w:rsid w:val="22A77C33"/>
    <w:rsid w:val="22CE65EE"/>
    <w:rsid w:val="23140AB8"/>
    <w:rsid w:val="237763F3"/>
    <w:rsid w:val="237A0EA4"/>
    <w:rsid w:val="23847F75"/>
    <w:rsid w:val="239D3CDF"/>
    <w:rsid w:val="23B2192A"/>
    <w:rsid w:val="243C11D8"/>
    <w:rsid w:val="244B2752"/>
    <w:rsid w:val="24FC00E1"/>
    <w:rsid w:val="252512E3"/>
    <w:rsid w:val="25A56784"/>
    <w:rsid w:val="2622355E"/>
    <w:rsid w:val="26482AC2"/>
    <w:rsid w:val="267A5FE7"/>
    <w:rsid w:val="26B80661"/>
    <w:rsid w:val="26C11862"/>
    <w:rsid w:val="26E1123A"/>
    <w:rsid w:val="26F43B8A"/>
    <w:rsid w:val="26F60B6E"/>
    <w:rsid w:val="26FC3FD7"/>
    <w:rsid w:val="274041B2"/>
    <w:rsid w:val="27496A54"/>
    <w:rsid w:val="279558CC"/>
    <w:rsid w:val="27AE2608"/>
    <w:rsid w:val="27C43035"/>
    <w:rsid w:val="27E20326"/>
    <w:rsid w:val="289E3886"/>
    <w:rsid w:val="28C01A4F"/>
    <w:rsid w:val="29143B49"/>
    <w:rsid w:val="297E3B7D"/>
    <w:rsid w:val="29E10124"/>
    <w:rsid w:val="2A781EB5"/>
    <w:rsid w:val="2A832D34"/>
    <w:rsid w:val="2AAF0753"/>
    <w:rsid w:val="2AE35581"/>
    <w:rsid w:val="2B253A23"/>
    <w:rsid w:val="2B4B159E"/>
    <w:rsid w:val="2BAC0068"/>
    <w:rsid w:val="2C5030EA"/>
    <w:rsid w:val="2D2970B8"/>
    <w:rsid w:val="2D384314"/>
    <w:rsid w:val="2D3B78F6"/>
    <w:rsid w:val="2D8D3ECA"/>
    <w:rsid w:val="2DB41456"/>
    <w:rsid w:val="2DD155BD"/>
    <w:rsid w:val="2EC92CDF"/>
    <w:rsid w:val="2F015510"/>
    <w:rsid w:val="301F58A8"/>
    <w:rsid w:val="30E7440A"/>
    <w:rsid w:val="31F84007"/>
    <w:rsid w:val="31FA1A73"/>
    <w:rsid w:val="32582CF8"/>
    <w:rsid w:val="32A61EBA"/>
    <w:rsid w:val="32ED1692"/>
    <w:rsid w:val="33122EA7"/>
    <w:rsid w:val="33EB08E8"/>
    <w:rsid w:val="342C5AFE"/>
    <w:rsid w:val="35266C07"/>
    <w:rsid w:val="35470E02"/>
    <w:rsid w:val="362508B5"/>
    <w:rsid w:val="36806379"/>
    <w:rsid w:val="36835A94"/>
    <w:rsid w:val="36AE0ABB"/>
    <w:rsid w:val="375A12C0"/>
    <w:rsid w:val="37F05781"/>
    <w:rsid w:val="386E258E"/>
    <w:rsid w:val="38B12743"/>
    <w:rsid w:val="39070FD4"/>
    <w:rsid w:val="39311BAD"/>
    <w:rsid w:val="39632E84"/>
    <w:rsid w:val="397C3770"/>
    <w:rsid w:val="39EB4B32"/>
    <w:rsid w:val="39F2758E"/>
    <w:rsid w:val="3A655FB2"/>
    <w:rsid w:val="3A7322CD"/>
    <w:rsid w:val="3A9647B8"/>
    <w:rsid w:val="3AE43D6C"/>
    <w:rsid w:val="3B5D312D"/>
    <w:rsid w:val="3B6C15C2"/>
    <w:rsid w:val="3B8A1D23"/>
    <w:rsid w:val="3C09304C"/>
    <w:rsid w:val="3C096E11"/>
    <w:rsid w:val="3C867CC7"/>
    <w:rsid w:val="3C8F37BA"/>
    <w:rsid w:val="3CF63839"/>
    <w:rsid w:val="3CF95B2B"/>
    <w:rsid w:val="3D4A3641"/>
    <w:rsid w:val="3D7824A0"/>
    <w:rsid w:val="3D995914"/>
    <w:rsid w:val="3ED41958"/>
    <w:rsid w:val="3F570B59"/>
    <w:rsid w:val="3F9C53AA"/>
    <w:rsid w:val="3FD64037"/>
    <w:rsid w:val="402E2E54"/>
    <w:rsid w:val="4181740A"/>
    <w:rsid w:val="41C7679A"/>
    <w:rsid w:val="41F94893"/>
    <w:rsid w:val="42010CB6"/>
    <w:rsid w:val="42444AFC"/>
    <w:rsid w:val="42786A9F"/>
    <w:rsid w:val="42E67EAC"/>
    <w:rsid w:val="43122A4F"/>
    <w:rsid w:val="43853221"/>
    <w:rsid w:val="447D214A"/>
    <w:rsid w:val="44C53903"/>
    <w:rsid w:val="46062D28"/>
    <w:rsid w:val="46196816"/>
    <w:rsid w:val="46342CDD"/>
    <w:rsid w:val="46431172"/>
    <w:rsid w:val="46B4260F"/>
    <w:rsid w:val="46D83FB0"/>
    <w:rsid w:val="46EA24C2"/>
    <w:rsid w:val="47221596"/>
    <w:rsid w:val="477A2191"/>
    <w:rsid w:val="477A5E97"/>
    <w:rsid w:val="47993115"/>
    <w:rsid w:val="47DA69CD"/>
    <w:rsid w:val="47F6064A"/>
    <w:rsid w:val="482F43E6"/>
    <w:rsid w:val="485F33D2"/>
    <w:rsid w:val="48654144"/>
    <w:rsid w:val="48855A71"/>
    <w:rsid w:val="48C62921"/>
    <w:rsid w:val="49064E04"/>
    <w:rsid w:val="49115557"/>
    <w:rsid w:val="496C7815"/>
    <w:rsid w:val="4974287C"/>
    <w:rsid w:val="497873C2"/>
    <w:rsid w:val="4AA470ED"/>
    <w:rsid w:val="4B2C6678"/>
    <w:rsid w:val="4BAB1C93"/>
    <w:rsid w:val="4BBA2F9C"/>
    <w:rsid w:val="4BE64A79"/>
    <w:rsid w:val="4C04739B"/>
    <w:rsid w:val="4C115F9A"/>
    <w:rsid w:val="4C831B11"/>
    <w:rsid w:val="4C95525D"/>
    <w:rsid w:val="4CDC02C0"/>
    <w:rsid w:val="4D226C01"/>
    <w:rsid w:val="4D3B518A"/>
    <w:rsid w:val="4DA76E86"/>
    <w:rsid w:val="4DD03C33"/>
    <w:rsid w:val="4ED73208"/>
    <w:rsid w:val="4FA633E1"/>
    <w:rsid w:val="4FAE58AE"/>
    <w:rsid w:val="500A342C"/>
    <w:rsid w:val="50120532"/>
    <w:rsid w:val="5032028D"/>
    <w:rsid w:val="50E11FE6"/>
    <w:rsid w:val="50F66007"/>
    <w:rsid w:val="510065DD"/>
    <w:rsid w:val="51025EB1"/>
    <w:rsid w:val="51182254"/>
    <w:rsid w:val="51A96C75"/>
    <w:rsid w:val="51BB2504"/>
    <w:rsid w:val="51DA1917"/>
    <w:rsid w:val="52C048CE"/>
    <w:rsid w:val="52D56B62"/>
    <w:rsid w:val="52E15F9A"/>
    <w:rsid w:val="53EA69D1"/>
    <w:rsid w:val="53F71F19"/>
    <w:rsid w:val="53FE6C2B"/>
    <w:rsid w:val="545255FD"/>
    <w:rsid w:val="54DA7990"/>
    <w:rsid w:val="54FA3343"/>
    <w:rsid w:val="551F4FC7"/>
    <w:rsid w:val="55DA1525"/>
    <w:rsid w:val="5613290E"/>
    <w:rsid w:val="56B259B1"/>
    <w:rsid w:val="570C3DA6"/>
    <w:rsid w:val="57391A72"/>
    <w:rsid w:val="584D2B97"/>
    <w:rsid w:val="594E6601"/>
    <w:rsid w:val="59D16397"/>
    <w:rsid w:val="5A127D6D"/>
    <w:rsid w:val="5A5D684E"/>
    <w:rsid w:val="5AA93A49"/>
    <w:rsid w:val="5AB87C0C"/>
    <w:rsid w:val="5AE2592E"/>
    <w:rsid w:val="5AF54D54"/>
    <w:rsid w:val="5B112DF2"/>
    <w:rsid w:val="5B2C211E"/>
    <w:rsid w:val="5B976A81"/>
    <w:rsid w:val="5BB406F0"/>
    <w:rsid w:val="5C571220"/>
    <w:rsid w:val="5C9B540C"/>
    <w:rsid w:val="5D015BB7"/>
    <w:rsid w:val="5D2D0A72"/>
    <w:rsid w:val="5D700646"/>
    <w:rsid w:val="5DB26EB1"/>
    <w:rsid w:val="5E5502C9"/>
    <w:rsid w:val="5F646D0F"/>
    <w:rsid w:val="5F652DB2"/>
    <w:rsid w:val="602B0459"/>
    <w:rsid w:val="604F643C"/>
    <w:rsid w:val="60BF3DBF"/>
    <w:rsid w:val="611E0FEE"/>
    <w:rsid w:val="612754C0"/>
    <w:rsid w:val="61816051"/>
    <w:rsid w:val="619F3974"/>
    <w:rsid w:val="624B5D7A"/>
    <w:rsid w:val="62A35127"/>
    <w:rsid w:val="6375489A"/>
    <w:rsid w:val="63D80CF3"/>
    <w:rsid w:val="64CA764A"/>
    <w:rsid w:val="65DD3A72"/>
    <w:rsid w:val="668E7B0D"/>
    <w:rsid w:val="66D5737F"/>
    <w:rsid w:val="67145733"/>
    <w:rsid w:val="681F38AA"/>
    <w:rsid w:val="686C7083"/>
    <w:rsid w:val="68C34857"/>
    <w:rsid w:val="6911789C"/>
    <w:rsid w:val="691427CE"/>
    <w:rsid w:val="699A3C09"/>
    <w:rsid w:val="69C44C29"/>
    <w:rsid w:val="6A04634A"/>
    <w:rsid w:val="6A6262E0"/>
    <w:rsid w:val="6C797762"/>
    <w:rsid w:val="6CA65FF8"/>
    <w:rsid w:val="6D323B6A"/>
    <w:rsid w:val="6D8E6FF3"/>
    <w:rsid w:val="6DDA6C97"/>
    <w:rsid w:val="6E2C680B"/>
    <w:rsid w:val="6E975E98"/>
    <w:rsid w:val="6EE3336E"/>
    <w:rsid w:val="6F307C36"/>
    <w:rsid w:val="6FB46AB9"/>
    <w:rsid w:val="70082960"/>
    <w:rsid w:val="70422316"/>
    <w:rsid w:val="708F0B65"/>
    <w:rsid w:val="719F48F9"/>
    <w:rsid w:val="71DD7E2B"/>
    <w:rsid w:val="72135D18"/>
    <w:rsid w:val="72D1785E"/>
    <w:rsid w:val="736B748E"/>
    <w:rsid w:val="73942E89"/>
    <w:rsid w:val="73B34EF3"/>
    <w:rsid w:val="73B61A65"/>
    <w:rsid w:val="73CF2113"/>
    <w:rsid w:val="73E12DE3"/>
    <w:rsid w:val="740A6037"/>
    <w:rsid w:val="746803C6"/>
    <w:rsid w:val="746C5BB4"/>
    <w:rsid w:val="7482736A"/>
    <w:rsid w:val="74F11C15"/>
    <w:rsid w:val="751A5B91"/>
    <w:rsid w:val="75C55EA3"/>
    <w:rsid w:val="760A0EE8"/>
    <w:rsid w:val="765B7C8E"/>
    <w:rsid w:val="76AC2297"/>
    <w:rsid w:val="76AC673B"/>
    <w:rsid w:val="76D812DE"/>
    <w:rsid w:val="77BA6C36"/>
    <w:rsid w:val="77BC55B0"/>
    <w:rsid w:val="77CB35B3"/>
    <w:rsid w:val="78C663E1"/>
    <w:rsid w:val="78DC77CF"/>
    <w:rsid w:val="78F06000"/>
    <w:rsid w:val="79116D2A"/>
    <w:rsid w:val="79A76252"/>
    <w:rsid w:val="79B1061A"/>
    <w:rsid w:val="7A773F9E"/>
    <w:rsid w:val="7B7A6E08"/>
    <w:rsid w:val="7B7B66DC"/>
    <w:rsid w:val="7C093CE8"/>
    <w:rsid w:val="7C626554"/>
    <w:rsid w:val="7D0E5A5A"/>
    <w:rsid w:val="7D933F7B"/>
    <w:rsid w:val="7E0F7395"/>
    <w:rsid w:val="7E2B6198"/>
    <w:rsid w:val="7E4E1E86"/>
    <w:rsid w:val="7EF5194D"/>
    <w:rsid w:val="7F945FBF"/>
    <w:rsid w:val="7FCA4FDE"/>
    <w:rsid w:val="AEF7E79B"/>
    <w:rsid w:val="BF791647"/>
    <w:rsid w:val="DFB79781"/>
    <w:rsid w:val="E1674402"/>
    <w:rsid w:val="FDEF9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846" w:right="1919"/>
      <w:jc w:val="center"/>
      <w:outlineLvl w:val="0"/>
    </w:pPr>
    <w:rPr>
      <w:b/>
      <w:bCs/>
      <w:sz w:val="38"/>
      <w:szCs w:val="38"/>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spacing w:line="460" w:lineRule="exact"/>
      <w:outlineLvl w:val="2"/>
    </w:pPr>
    <w:rPr>
      <w:rFonts w:ascii="宋体" w:hAnsi="宋体"/>
      <w:b/>
      <w:bCs/>
      <w:sz w:val="30"/>
    </w:rPr>
  </w:style>
  <w:style w:type="character" w:default="1" w:styleId="9">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Times New Roman"/>
      <w:kern w:val="2"/>
      <w:sz w:val="21"/>
      <w:szCs w:val="22"/>
    </w:rPr>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able of authorities"/>
    <w:basedOn w:val="1"/>
    <w:next w:val="1"/>
    <w:unhideWhenUsed/>
    <w:qFormat/>
    <w:uiPriority w:val="99"/>
    <w:pPr>
      <w:tabs>
        <w:tab w:val="decimal" w:pos="315"/>
        <w:tab w:val="left" w:pos="630"/>
      </w:tabs>
      <w:ind w:left="420" w:leftChars="200"/>
    </w:pPr>
  </w:style>
  <w:style w:type="paragraph" w:styleId="7">
    <w:name w:val="Normal Indent"/>
    <w:basedOn w:val="1"/>
    <w:qFormat/>
    <w:uiPriority w:val="0"/>
    <w:pPr>
      <w:widowControl w:val="0"/>
      <w:ind w:firstLine="420"/>
      <w:jc w:val="both"/>
    </w:pPr>
    <w:rPr>
      <w:kern w:val="2"/>
    </w:rPr>
  </w:style>
  <w:style w:type="paragraph" w:styleId="8">
    <w:name w:val="Body Text 2"/>
    <w:basedOn w:val="1"/>
    <w:unhideWhenUsed/>
    <w:qFormat/>
    <w:uiPriority w:val="99"/>
    <w:pPr>
      <w:spacing w:after="120" w:line="480" w:lineRule="auto"/>
    </w:pPr>
  </w:style>
  <w:style w:type="table" w:styleId="11">
    <w:name w:val="Table Grid"/>
    <w:basedOn w:val="10"/>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3">
    <w:name w:val="列出段落1"/>
    <w:basedOn w:val="1"/>
    <w:qFormat/>
    <w:uiPriority w:val="34"/>
    <w:pPr>
      <w:ind w:firstLine="420" w:firstLineChars="200"/>
    </w:pPr>
  </w:style>
  <w:style w:type="paragraph" w:customStyle="1" w:styleId="14">
    <w:name w:val="投标正文小四"/>
    <w:basedOn w:val="1"/>
    <w:qFormat/>
    <w:uiPriority w:val="0"/>
    <w:pPr>
      <w:spacing w:line="360" w:lineRule="auto"/>
      <w:ind w:firstLine="200" w:firstLineChars="200"/>
    </w:pPr>
    <w:rPr>
      <w:sz w:val="24"/>
    </w:rPr>
  </w:style>
  <w:style w:type="paragraph" w:styleId="15">
    <w:name w:val="List Paragraph"/>
    <w:basedOn w:val="1"/>
    <w:qFormat/>
    <w:uiPriority w:val="34"/>
    <w:pPr>
      <w:ind w:firstLine="420" w:firstLineChars="200"/>
    </w:pPr>
  </w:style>
  <w:style w:type="paragraph" w:customStyle="1" w:styleId="16">
    <w:name w:val="列出段落"/>
    <w:basedOn w:val="1"/>
    <w:qFormat/>
    <w:uiPriority w:val="0"/>
    <w:pPr>
      <w:ind w:firstLine="420" w:firstLineChars="200"/>
    </w:pPr>
    <w:rPr>
      <w:rFonts w:ascii="Calibri" w:hAnsi="Calibri" w:cs="宋体"/>
    </w:rPr>
  </w:style>
  <w:style w:type="paragraph" w:customStyle="1" w:styleId="17">
    <w:name w:val="列表段落2"/>
    <w:basedOn w:val="1"/>
    <w:qFormat/>
    <w:uiPriority w:val="0"/>
    <w:pPr>
      <w:ind w:firstLine="420" w:firstLineChars="200"/>
    </w:pPr>
    <w:rPr>
      <w:szCs w:val="21"/>
    </w:rPr>
  </w:style>
  <w:style w:type="paragraph" w:customStyle="1" w:styleId="18">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1900</Words>
  <Characters>1938</Characters>
  <Lines>0</Lines>
  <Paragraphs>0</Paragraphs>
  <ScaleCrop>false</ScaleCrop>
  <LinksUpToDate>false</LinksUpToDate>
  <CharactersWithSpaces>1961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2024-05-25T17:11:00Z</dcterms:created>
  <dc:creator>Administrator</dc:creator>
  <cp:lastModifiedBy>SK</cp:lastModifiedBy>
  <dcterms:modified xsi:type="dcterms:W3CDTF">2024-11-28T09:27:39Z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A9ADB54748E9405B9EF2C125921FCBC8_13</vt:lpwstr>
  </property>
</Properties>
</file>