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color w:val="auto"/>
        </w:rPr>
      </w:pPr>
      <w:r>
        <w:rPr>
          <w:rFonts w:hint="eastAsia"/>
          <w:color w:val="auto"/>
        </w:rPr>
        <w:t>附件</w:t>
      </w:r>
      <w:r>
        <w:rPr>
          <w:rFonts w:hint="eastAsia"/>
          <w:color w:val="auto"/>
          <w:lang w:val="en-US" w:eastAsia="zh-CN"/>
        </w:rPr>
        <w:t>4</w:t>
      </w:r>
      <w:r>
        <w:rPr>
          <w:rFonts w:hint="eastAsia"/>
          <w:color w:val="auto"/>
        </w:rPr>
        <w:t>：</w:t>
      </w:r>
    </w:p>
    <w:p>
      <w:pPr>
        <w:spacing w:line="360" w:lineRule="auto"/>
        <w:ind w:firstLine="602" w:firstLineChars="200"/>
        <w:jc w:val="center"/>
        <w:rPr>
          <w:rFonts w:hint="eastAsia" w:ascii="宋体" w:hAnsi="宋体" w:cs="宋体"/>
          <w:b/>
          <w:bCs/>
          <w:color w:val="auto"/>
          <w:sz w:val="30"/>
          <w:szCs w:val="30"/>
          <w:lang w:eastAsia="zh-CN"/>
        </w:rPr>
      </w:pPr>
      <w:r>
        <w:rPr>
          <w:rFonts w:hint="eastAsia" w:ascii="宋体" w:hAnsi="宋体" w:cs="宋体"/>
          <w:b/>
          <w:bCs/>
          <w:color w:val="auto"/>
          <w:sz w:val="30"/>
          <w:szCs w:val="30"/>
          <w:lang w:val="en-US" w:eastAsia="zh-CN"/>
        </w:rPr>
        <w:t>评审方案</w:t>
      </w:r>
    </w:p>
    <w:p>
      <w:pPr>
        <w:spacing w:line="360" w:lineRule="auto"/>
        <w:ind w:firstLine="422" w:firstLineChars="200"/>
        <w:rPr>
          <w:rFonts w:hint="eastAsia" w:ascii="宋体" w:hAnsi="宋体"/>
          <w:b w:val="0"/>
          <w:bCs w:val="0"/>
          <w:color w:val="auto"/>
          <w:szCs w:val="21"/>
          <w:highlight w:val="none"/>
          <w:lang w:val="en-US" w:eastAsia="zh-CN"/>
        </w:rPr>
      </w:pPr>
      <w:r>
        <w:rPr>
          <w:rFonts w:hint="eastAsia" w:ascii="宋体" w:hAnsi="宋体"/>
          <w:b/>
          <w:bCs/>
          <w:color w:val="auto"/>
          <w:szCs w:val="21"/>
          <w:highlight w:val="none"/>
          <w:lang w:val="en-US" w:eastAsia="zh-CN"/>
        </w:rPr>
        <w:t>1、评审步骤：</w:t>
      </w:r>
      <w:r>
        <w:rPr>
          <w:rFonts w:hint="eastAsia" w:ascii="宋体" w:hAnsi="宋体"/>
          <w:b w:val="0"/>
          <w:bCs w:val="0"/>
          <w:color w:val="auto"/>
          <w:szCs w:val="21"/>
          <w:highlight w:val="none"/>
          <w:lang w:val="en-US" w:eastAsia="zh-CN"/>
        </w:rPr>
        <w:t>评审小组对响应文件的评审分为初审（资格性和符合性审查，详见响应</w:t>
      </w:r>
      <w:bookmarkStart w:id="1" w:name="_GoBack"/>
      <w:bookmarkEnd w:id="1"/>
      <w:r>
        <w:rPr>
          <w:rFonts w:hint="eastAsia" w:ascii="宋体" w:hAnsi="宋体"/>
          <w:b w:val="0"/>
          <w:bCs w:val="0"/>
          <w:color w:val="auto"/>
          <w:szCs w:val="21"/>
          <w:highlight w:val="none"/>
          <w:lang w:val="en-US" w:eastAsia="zh-CN"/>
        </w:rPr>
        <w:t>文件模版参考内容）和详细评审，初审通过才进入详细评审环节。</w:t>
      </w:r>
    </w:p>
    <w:p>
      <w:pPr>
        <w:spacing w:line="360" w:lineRule="auto"/>
        <w:ind w:firstLine="420" w:firstLineChars="200"/>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2、详细评审时，根据评分表的内容，评审小组各成员应当独立对每个有效响应的文件进行评价、打分，从商务技术和价格方面进行综合评审。各成员评分的算术平均值即为该供应商的商务技术得分。得分按四舍五入规则，精确到小数点后2位。</w:t>
      </w:r>
    </w:p>
    <w:p>
      <w:pPr>
        <w:spacing w:line="360" w:lineRule="auto"/>
        <w:ind w:firstLine="422" w:firstLineChars="200"/>
        <w:rPr>
          <w:rFonts w:hint="eastAsia" w:ascii="宋体" w:hAnsi="宋体"/>
          <w:b w:val="0"/>
          <w:bCs w:val="0"/>
          <w:color w:val="auto"/>
          <w:szCs w:val="21"/>
          <w:highlight w:val="none"/>
          <w:lang w:val="en-US" w:eastAsia="zh-CN"/>
        </w:rPr>
      </w:pPr>
      <w:r>
        <w:rPr>
          <w:rFonts w:hint="eastAsia" w:ascii="宋体" w:hAnsi="宋体"/>
          <w:b/>
          <w:bCs/>
          <w:color w:val="auto"/>
          <w:szCs w:val="21"/>
          <w:highlight w:val="none"/>
          <w:lang w:val="en-US" w:eastAsia="zh-CN"/>
        </w:rPr>
        <w:t>3、评审总得分＝商务技术得分+响应报价得分</w:t>
      </w:r>
      <w:r>
        <w:rPr>
          <w:rFonts w:hint="eastAsia" w:ascii="宋体" w:hAnsi="宋体"/>
          <w:b w:val="0"/>
          <w:bCs w:val="0"/>
          <w:color w:val="auto"/>
          <w:szCs w:val="21"/>
          <w:highlight w:val="none"/>
          <w:lang w:val="en-US" w:eastAsia="zh-CN"/>
        </w:rPr>
        <w:t>　　</w:t>
      </w:r>
    </w:p>
    <w:p>
      <w:pPr>
        <w:spacing w:line="360" w:lineRule="auto"/>
        <w:ind w:firstLine="420" w:firstLineChars="200"/>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4、评审小组按评审得分由高到低进行排序，排名第一的推荐为拟成交供应商，排名第二的供应商为第二成交候选人，排名第三的供应商为第三成交候选人,依此类推。出现综合总得分并列时，报价总价低的供应商名次靠前；若综合得分和报价总价都相同，按技术得分高的供应商名次靠前；若综合得分、报价总价和技术得分都相同，由全体评委投票确定名次。</w:t>
      </w:r>
    </w:p>
    <w:p>
      <w:pPr>
        <w:spacing w:line="360" w:lineRule="auto"/>
        <w:ind w:firstLine="422" w:firstLineChars="200"/>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5、响应文件的澄清</w:t>
      </w:r>
    </w:p>
    <w:p>
      <w:pPr>
        <w:spacing w:line="360" w:lineRule="auto"/>
        <w:ind w:firstLine="420" w:firstLineChars="200"/>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评审期间，对响应文件中含义不明确、同类问题表述不一致或者有明显文字和计算错误的内容，评审小组可以书面形式（应当由评审小组专家签字）要求供应商作出必要的澄清、说明或者纠正，但不得允许供应商对响应报价等实质性内容做任何更改。供应商的澄清、说明或者纠正应当采用书面形式，由其授权的代表签字，并不得超出响应文件的范围或者改变响应文件的实质性内容。有关澄清的答复均应由供应商的法定代表人或授权代表签名的书面形式作出。供应商的澄清文件是其响应文件的组成部分。</w:t>
      </w:r>
    </w:p>
    <w:p>
      <w:pPr>
        <w:numPr>
          <w:ilvl w:val="0"/>
          <w:numId w:val="0"/>
        </w:numPr>
        <w:spacing w:line="360" w:lineRule="auto"/>
        <w:ind w:firstLine="420" w:firstLineChars="200"/>
        <w:rPr>
          <w:rFonts w:hint="eastAsia" w:ascii="宋体" w:hAnsi="宋体"/>
          <w:b w:val="0"/>
          <w:bCs w:val="0"/>
          <w:color w:val="auto"/>
          <w:szCs w:val="21"/>
          <w:highlight w:val="none"/>
          <w:lang w:val="en-US" w:eastAsia="zh-CN"/>
        </w:rPr>
      </w:pPr>
      <w:r>
        <w:rPr>
          <w:rFonts w:hint="eastAsia" w:ascii="宋体" w:hAnsi="宋体" w:eastAsia="宋体" w:cs="Times New Roman"/>
          <w:b w:val="0"/>
          <w:bCs w:val="0"/>
          <w:color w:val="auto"/>
          <w:kern w:val="2"/>
          <w:sz w:val="21"/>
          <w:szCs w:val="21"/>
          <w:lang w:val="en-US" w:eastAsia="zh-CN" w:bidi="ar-SA"/>
        </w:rPr>
        <w:t>6、</w:t>
      </w:r>
      <w:r>
        <w:rPr>
          <w:rFonts w:hint="eastAsia" w:ascii="宋体" w:hAnsi="宋体"/>
          <w:b w:val="0"/>
          <w:bCs w:val="0"/>
          <w:color w:val="auto"/>
          <w:szCs w:val="21"/>
          <w:highlight w:val="none"/>
          <w:lang w:val="en-US" w:eastAsia="zh-CN"/>
        </w:rPr>
        <w:t>成交供应商未向采购人来书面函退出或违反采购文件规定的，则采购人视为该成交供应商放弃成交资格。采购人可以按照评审报告的成交候选人名单顺序，确定下一候选人为成交供应商，也可以重新开展采购活动。</w:t>
      </w:r>
    </w:p>
    <w:p>
      <w:pPr>
        <w:spacing w:line="360" w:lineRule="auto"/>
        <w:ind w:firstLine="420" w:firstLineChars="200"/>
        <w:rPr>
          <w:rFonts w:hint="eastAsia" w:ascii="宋体" w:hAnsi="宋体" w:eastAsia="宋体" w:cs="宋体"/>
          <w:color w:val="auto"/>
          <w:szCs w:val="21"/>
        </w:rPr>
      </w:pPr>
    </w:p>
    <w:p>
      <w:pPr>
        <w:pStyle w:val="4"/>
        <w:ind w:left="0"/>
        <w:jc w:val="center"/>
        <w:rPr>
          <w:rFonts w:hint="default"/>
          <w:color w:val="auto"/>
          <w:sz w:val="28"/>
          <w:szCs w:val="28"/>
          <w:lang w:val="en-US" w:eastAsia="zh-CN"/>
        </w:rPr>
      </w:pPr>
      <w:r>
        <w:rPr>
          <w:rFonts w:hint="eastAsia" w:ascii="宋体" w:hAnsi="宋体" w:cs="宋体"/>
          <w:b/>
          <w:bCs/>
          <w:color w:val="auto"/>
          <w:sz w:val="28"/>
          <w:szCs w:val="28"/>
          <w:lang w:val="en-US" w:eastAsia="zh-CN"/>
        </w:rPr>
        <w:t>附表：</w:t>
      </w:r>
      <w:r>
        <w:rPr>
          <w:rFonts w:hint="eastAsia" w:ascii="宋体" w:hAnsi="宋体" w:cs="宋体"/>
          <w:b/>
          <w:bCs/>
          <w:color w:val="auto"/>
          <w:sz w:val="28"/>
          <w:szCs w:val="28"/>
          <w:lang w:eastAsia="zh-CN"/>
        </w:rPr>
        <w:t>中山市黄圃人民医院全国严重创伤救治信息交互联动系统服务</w:t>
      </w:r>
      <w:r>
        <w:rPr>
          <w:rFonts w:hint="eastAsia" w:ascii="宋体" w:hAnsi="宋体" w:eastAsia="宋体" w:cs="宋体"/>
          <w:b/>
          <w:bCs/>
          <w:color w:val="auto"/>
          <w:sz w:val="28"/>
          <w:szCs w:val="28"/>
        </w:rPr>
        <w:t>评分表</w:t>
      </w:r>
    </w:p>
    <w:tbl>
      <w:tblPr>
        <w:tblStyle w:val="7"/>
        <w:tblW w:w="92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087"/>
        <w:gridCol w:w="6443"/>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exact"/>
          <w:jc w:val="center"/>
        </w:trPr>
        <w:tc>
          <w:tcPr>
            <w:tcW w:w="916" w:type="dxa"/>
            <w:vAlign w:val="center"/>
          </w:tcPr>
          <w:p>
            <w:pPr>
              <w:pStyle w:val="5"/>
              <w:tabs>
                <w:tab w:val="clear" w:pos="4153"/>
                <w:tab w:val="clear" w:pos="8306"/>
              </w:tabs>
              <w:snapToGrid/>
              <w:spacing w:line="360" w:lineRule="auto"/>
              <w:jc w:val="center"/>
              <w:rPr>
                <w:rFonts w:hint="eastAsia" w:ascii="宋体" w:hAnsi="宋体" w:eastAsia="宋体" w:cs="宋体"/>
                <w:b/>
                <w:bCs/>
                <w:color w:val="auto"/>
                <w:sz w:val="21"/>
                <w:szCs w:val="21"/>
                <w:lang w:eastAsia="zh-CN"/>
              </w:rPr>
            </w:pPr>
            <w:bookmarkStart w:id="0" w:name="OLE_LINK2"/>
            <w:r>
              <w:rPr>
                <w:rFonts w:hint="eastAsia" w:ascii="宋体" w:hAnsi="宋体" w:cs="宋体"/>
                <w:b/>
                <w:bCs/>
                <w:color w:val="auto"/>
                <w:sz w:val="21"/>
                <w:szCs w:val="21"/>
                <w:lang w:eastAsia="zh-CN"/>
              </w:rPr>
              <w:t>项目</w:t>
            </w:r>
          </w:p>
        </w:tc>
        <w:tc>
          <w:tcPr>
            <w:tcW w:w="1087" w:type="dxa"/>
            <w:vAlign w:val="center"/>
          </w:tcPr>
          <w:p>
            <w:pPr>
              <w:pStyle w:val="5"/>
              <w:tabs>
                <w:tab w:val="clear" w:pos="4153"/>
                <w:tab w:val="clear" w:pos="8306"/>
              </w:tabs>
              <w:snapToGrid/>
              <w:spacing w:line="360" w:lineRule="auto"/>
              <w:jc w:val="center"/>
              <w:rPr>
                <w:rFonts w:ascii="宋体" w:hAnsi="宋体" w:cs="宋体"/>
                <w:b/>
                <w:bCs/>
                <w:color w:val="auto"/>
                <w:sz w:val="21"/>
                <w:szCs w:val="21"/>
              </w:rPr>
            </w:pPr>
            <w:r>
              <w:rPr>
                <w:rFonts w:hint="eastAsia" w:ascii="宋体" w:hAnsi="宋体" w:cs="宋体"/>
                <w:b/>
                <w:bCs/>
                <w:color w:val="auto"/>
                <w:sz w:val="21"/>
                <w:szCs w:val="21"/>
              </w:rPr>
              <w:t>评审因素</w:t>
            </w:r>
          </w:p>
        </w:tc>
        <w:tc>
          <w:tcPr>
            <w:tcW w:w="6443" w:type="dxa"/>
            <w:vAlign w:val="center"/>
          </w:tcPr>
          <w:p>
            <w:pPr>
              <w:pStyle w:val="5"/>
              <w:tabs>
                <w:tab w:val="clear" w:pos="4153"/>
                <w:tab w:val="clear" w:pos="8306"/>
              </w:tabs>
              <w:snapToGrid/>
              <w:spacing w:line="360" w:lineRule="auto"/>
              <w:jc w:val="center"/>
              <w:rPr>
                <w:rFonts w:ascii="宋体" w:hAnsi="宋体" w:cs="宋体"/>
                <w:b/>
                <w:bCs/>
                <w:color w:val="auto"/>
                <w:sz w:val="21"/>
                <w:szCs w:val="21"/>
              </w:rPr>
            </w:pPr>
            <w:r>
              <w:rPr>
                <w:rFonts w:hint="eastAsia" w:ascii="宋体" w:hAnsi="宋体" w:cs="宋体"/>
                <w:b/>
                <w:bCs/>
                <w:color w:val="auto"/>
                <w:sz w:val="21"/>
                <w:szCs w:val="21"/>
              </w:rPr>
              <w:t>评分细则</w:t>
            </w:r>
          </w:p>
        </w:tc>
        <w:tc>
          <w:tcPr>
            <w:tcW w:w="809" w:type="dxa"/>
            <w:vAlign w:val="center"/>
          </w:tcPr>
          <w:p>
            <w:pPr>
              <w:pStyle w:val="5"/>
              <w:tabs>
                <w:tab w:val="clear" w:pos="4153"/>
                <w:tab w:val="clear" w:pos="8306"/>
              </w:tabs>
              <w:snapToGrid/>
              <w:spacing w:line="360" w:lineRule="auto"/>
              <w:jc w:val="center"/>
              <w:rPr>
                <w:rFonts w:ascii="宋体" w:hAnsi="宋体" w:cs="宋体"/>
                <w:b/>
                <w:bCs/>
                <w:color w:val="auto"/>
                <w:sz w:val="21"/>
                <w:szCs w:val="21"/>
              </w:rPr>
            </w:pPr>
            <w:r>
              <w:rPr>
                <w:rFonts w:hint="eastAsia" w:ascii="宋体" w:hAnsi="宋体" w:cs="宋体"/>
                <w:b/>
                <w:bCs/>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916" w:type="dxa"/>
            <w:vMerge w:val="restart"/>
            <w:vAlign w:val="center"/>
          </w:tcPr>
          <w:p>
            <w:pPr>
              <w:widowControl/>
              <w:spacing w:line="360" w:lineRule="auto"/>
              <w:jc w:val="center"/>
              <w:rPr>
                <w:rFonts w:hint="default" w:ascii="宋体" w:hAnsi="宋体" w:eastAsia="宋体" w:cs="宋体"/>
                <w:color w:val="auto"/>
                <w:spacing w:val="15"/>
                <w:kern w:val="0"/>
                <w:szCs w:val="21"/>
                <w:shd w:val="clear" w:color="auto" w:fill="FFFFFF"/>
                <w:lang w:val="en-US" w:eastAsia="zh-CN"/>
              </w:rPr>
            </w:pPr>
            <w:r>
              <w:rPr>
                <w:rFonts w:hint="eastAsia" w:ascii="宋体" w:hAnsi="宋体" w:eastAsia="宋体" w:cs="宋体"/>
                <w:color w:val="auto"/>
                <w:spacing w:val="15"/>
                <w:kern w:val="0"/>
                <w:szCs w:val="21"/>
                <w:shd w:val="clear" w:color="auto" w:fill="FFFFFF"/>
                <w:lang w:val="en-US" w:eastAsia="zh-CN"/>
              </w:rPr>
              <w:t>商务技术部分</w:t>
            </w:r>
          </w:p>
        </w:tc>
        <w:tc>
          <w:tcPr>
            <w:tcW w:w="1087" w:type="dxa"/>
            <w:vAlign w:val="center"/>
          </w:tcPr>
          <w:p>
            <w:pPr>
              <w:tabs>
                <w:tab w:val="decimal" w:pos="315"/>
                <w:tab w:val="left" w:pos="630"/>
              </w:tabs>
              <w:spacing w:line="276" w:lineRule="auto"/>
              <w:jc w:val="center"/>
              <w:rPr>
                <w:rFonts w:hint="eastAsia" w:ascii="宋体" w:hAnsi="宋体"/>
                <w:color w:val="auto"/>
                <w:szCs w:val="21"/>
                <w:highlight w:val="none"/>
              </w:rPr>
            </w:pPr>
            <w:r>
              <w:rPr>
                <w:rFonts w:hint="eastAsia"/>
                <w:color w:val="auto"/>
              </w:rPr>
              <w:t>技术</w:t>
            </w:r>
            <w:r>
              <w:rPr>
                <w:rFonts w:hint="eastAsia"/>
                <w:color w:val="auto"/>
                <w:lang w:eastAsia="zh-CN"/>
              </w:rPr>
              <w:t>要求</w:t>
            </w:r>
            <w:r>
              <w:rPr>
                <w:rFonts w:hint="eastAsia"/>
                <w:color w:val="auto"/>
              </w:rPr>
              <w:t>响应程度</w:t>
            </w:r>
          </w:p>
        </w:tc>
        <w:tc>
          <w:tcPr>
            <w:tcW w:w="6443" w:type="dxa"/>
            <w:vAlign w:val="center"/>
          </w:tcPr>
          <w:p>
            <w:pPr>
              <w:tabs>
                <w:tab w:val="decimal" w:pos="315"/>
                <w:tab w:val="left" w:pos="630"/>
              </w:tabs>
              <w:spacing w:line="360" w:lineRule="auto"/>
              <w:jc w:val="left"/>
              <w:rPr>
                <w:color w:val="auto"/>
                <w:highlight w:val="none"/>
              </w:rPr>
            </w:pPr>
            <w:r>
              <w:rPr>
                <w:color w:val="auto"/>
                <w:highlight w:val="none"/>
              </w:rPr>
              <w:t>根据</w:t>
            </w:r>
            <w:r>
              <w:rPr>
                <w:rFonts w:hint="eastAsia"/>
                <w:color w:val="auto"/>
                <w:highlight w:val="none"/>
                <w:lang w:eastAsia="zh-CN"/>
              </w:rPr>
              <w:t>供应商</w:t>
            </w:r>
            <w:r>
              <w:rPr>
                <w:color w:val="auto"/>
                <w:highlight w:val="none"/>
              </w:rPr>
              <w:t>对本</w:t>
            </w:r>
            <w:r>
              <w:rPr>
                <w:rFonts w:hint="eastAsia"/>
                <w:color w:val="auto"/>
                <w:highlight w:val="none"/>
                <w:lang w:val="en-US" w:eastAsia="zh-CN"/>
              </w:rPr>
              <w:t>项目标注的“▲”重点技术参数</w:t>
            </w:r>
            <w:r>
              <w:rPr>
                <w:color w:val="auto"/>
                <w:highlight w:val="none"/>
              </w:rPr>
              <w:t>情况</w:t>
            </w:r>
            <w:r>
              <w:rPr>
                <w:rFonts w:hint="eastAsia"/>
                <w:color w:val="auto"/>
                <w:highlight w:val="none"/>
                <w:lang w:val="en-US" w:eastAsia="zh-CN"/>
              </w:rPr>
              <w:t>进行</w:t>
            </w:r>
            <w:r>
              <w:rPr>
                <w:color w:val="auto"/>
                <w:highlight w:val="none"/>
              </w:rPr>
              <w:t>评审：</w:t>
            </w:r>
          </w:p>
          <w:p>
            <w:pPr>
              <w:tabs>
                <w:tab w:val="decimal" w:pos="315"/>
                <w:tab w:val="left" w:pos="630"/>
              </w:tabs>
              <w:spacing w:line="276" w:lineRule="auto"/>
              <w:rPr>
                <w:rFonts w:hint="eastAsia"/>
                <w:color w:val="auto"/>
              </w:rPr>
            </w:pPr>
            <w:r>
              <w:rPr>
                <w:rFonts w:hint="eastAsia"/>
                <w:color w:val="auto"/>
              </w:rPr>
              <w:t>每</w:t>
            </w:r>
            <w:r>
              <w:rPr>
                <w:rFonts w:hint="eastAsia"/>
                <w:color w:val="auto"/>
                <w:lang w:val="en-US"/>
              </w:rPr>
              <w:t>负</w:t>
            </w:r>
            <w:r>
              <w:rPr>
                <w:rFonts w:hint="eastAsia"/>
                <w:color w:val="auto"/>
              </w:rPr>
              <w:t>偏离一项</w:t>
            </w:r>
            <w:r>
              <w:rPr>
                <w:rFonts w:hint="eastAsia"/>
                <w:color w:val="auto"/>
                <w:lang w:val="en-US"/>
              </w:rPr>
              <w:t>扣</w:t>
            </w:r>
            <w:r>
              <w:rPr>
                <w:rFonts w:hint="eastAsia"/>
                <w:color w:val="auto"/>
                <w:lang w:val="en-US" w:eastAsia="zh-CN"/>
              </w:rPr>
              <w:t>6</w:t>
            </w:r>
            <w:r>
              <w:rPr>
                <w:rFonts w:hint="eastAsia"/>
                <w:color w:val="auto"/>
              </w:rPr>
              <w:t>分，扣完为止</w:t>
            </w:r>
            <w:r>
              <w:rPr>
                <w:rFonts w:hint="eastAsia"/>
                <w:color w:val="auto"/>
                <w:lang w:eastAsia="zh-CN"/>
              </w:rPr>
              <w:t>，</w:t>
            </w:r>
            <w:r>
              <w:rPr>
                <w:rFonts w:hint="eastAsia"/>
                <w:color w:val="auto"/>
              </w:rPr>
              <w:t>完全响应</w:t>
            </w:r>
            <w:r>
              <w:rPr>
                <w:rFonts w:hint="eastAsia"/>
                <w:color w:val="auto"/>
                <w:lang w:val="en-US"/>
              </w:rPr>
              <w:t>最高得</w:t>
            </w:r>
            <w:r>
              <w:rPr>
                <w:rFonts w:hint="eastAsia"/>
                <w:color w:val="auto"/>
                <w:lang w:val="en-US" w:eastAsia="zh-CN"/>
              </w:rPr>
              <w:t>42</w:t>
            </w:r>
            <w:r>
              <w:rPr>
                <w:rFonts w:hint="eastAsia"/>
                <w:color w:val="auto"/>
                <w:lang w:val="en-US"/>
              </w:rPr>
              <w:t>分</w:t>
            </w:r>
            <w:r>
              <w:rPr>
                <w:rFonts w:hint="eastAsia"/>
                <w:color w:val="auto"/>
              </w:rPr>
              <w:t>。</w:t>
            </w:r>
          </w:p>
          <w:p>
            <w:pPr>
              <w:numPr>
                <w:ilvl w:val="0"/>
                <w:numId w:val="0"/>
              </w:numPr>
              <w:tabs>
                <w:tab w:val="decimal" w:pos="315"/>
                <w:tab w:val="left" w:pos="630"/>
              </w:tabs>
              <w:spacing w:line="360" w:lineRule="auto"/>
              <w:jc w:val="left"/>
              <w:rPr>
                <w:b/>
                <w:bCs/>
                <w:color w:val="auto"/>
                <w:highlight w:val="none"/>
              </w:rPr>
            </w:pPr>
            <w:r>
              <w:rPr>
                <w:b/>
                <w:bCs/>
                <w:color w:val="auto"/>
                <w:highlight w:val="none"/>
              </w:rPr>
              <w:t>注：1、本</w:t>
            </w:r>
            <w:r>
              <w:rPr>
                <w:rFonts w:hint="eastAsia"/>
                <w:b/>
                <w:bCs/>
                <w:color w:val="auto"/>
                <w:highlight w:val="none"/>
                <w:lang w:val="en-US" w:eastAsia="zh-CN"/>
              </w:rPr>
              <w:t>项目标注</w:t>
            </w:r>
            <w:r>
              <w:rPr>
                <w:b/>
                <w:bCs/>
                <w:color w:val="auto"/>
                <w:highlight w:val="none"/>
              </w:rPr>
              <w:t>“▲”的重要技术参数条款要求共</w:t>
            </w:r>
            <w:r>
              <w:rPr>
                <w:rFonts w:hint="eastAsia"/>
                <w:b/>
                <w:bCs/>
                <w:color w:val="auto"/>
                <w:highlight w:val="none"/>
                <w:lang w:val="en-US" w:eastAsia="zh-CN"/>
              </w:rPr>
              <w:t>7</w:t>
            </w:r>
            <w:r>
              <w:rPr>
                <w:b/>
                <w:bCs/>
                <w:color w:val="auto"/>
                <w:highlight w:val="none"/>
              </w:rPr>
              <w:t>项。</w:t>
            </w:r>
          </w:p>
          <w:p>
            <w:pPr>
              <w:tabs>
                <w:tab w:val="decimal" w:pos="315"/>
                <w:tab w:val="left" w:pos="630"/>
              </w:tabs>
              <w:spacing w:line="276" w:lineRule="auto"/>
              <w:rPr>
                <w:rFonts w:hint="eastAsia" w:ascii="宋体" w:hAnsi="宋体" w:cs="宋体"/>
                <w:b/>
                <w:bCs w:val="0"/>
                <w:color w:val="auto"/>
                <w:highlight w:val="yellow"/>
                <w:lang w:val="zh-CN"/>
              </w:rPr>
            </w:pPr>
            <w:r>
              <w:rPr>
                <w:b/>
                <w:bCs/>
                <w:color w:val="auto"/>
                <w:highlight w:val="none"/>
              </w:rPr>
              <w:t>2、</w:t>
            </w:r>
            <w:r>
              <w:rPr>
                <w:rFonts w:hint="eastAsia"/>
                <w:b/>
                <w:bCs/>
                <w:color w:val="auto"/>
                <w:highlight w:val="none"/>
                <w:lang w:eastAsia="zh-CN"/>
              </w:rPr>
              <w:t>供应商</w:t>
            </w:r>
            <w:r>
              <w:rPr>
                <w:rFonts w:hint="eastAsia"/>
                <w:b/>
                <w:bCs/>
                <w:color w:val="auto"/>
                <w:highlight w:val="none"/>
              </w:rPr>
              <w:t>对</w:t>
            </w:r>
            <w:r>
              <w:rPr>
                <w:rFonts w:hint="eastAsia"/>
                <w:b/>
                <w:bCs/>
                <w:color w:val="auto"/>
                <w:highlight w:val="none"/>
                <w:lang w:val="en-US" w:eastAsia="zh-CN"/>
              </w:rPr>
              <w:t>标注</w:t>
            </w:r>
            <w:r>
              <w:rPr>
                <w:b/>
                <w:bCs/>
                <w:color w:val="auto"/>
                <w:highlight w:val="none"/>
              </w:rPr>
              <w:t>“▲”的重要技术参数</w:t>
            </w:r>
            <w:r>
              <w:rPr>
                <w:rFonts w:hint="eastAsia"/>
                <w:b/>
                <w:bCs/>
                <w:color w:val="auto"/>
                <w:highlight w:val="none"/>
              </w:rPr>
              <w:t>功能</w:t>
            </w:r>
            <w:r>
              <w:rPr>
                <w:rFonts w:hint="eastAsia"/>
                <w:b/>
                <w:bCs/>
                <w:color w:val="auto"/>
                <w:highlight w:val="none"/>
                <w:lang w:eastAsia="zh-CN"/>
              </w:rPr>
              <w:t>，</w:t>
            </w:r>
            <w:r>
              <w:rPr>
                <w:rFonts w:hint="eastAsia"/>
                <w:b/>
                <w:bCs/>
                <w:color w:val="auto"/>
                <w:highlight w:val="none"/>
                <w:lang w:val="en-US" w:eastAsia="zh-CN"/>
              </w:rPr>
              <w:t>应</w:t>
            </w:r>
            <w:r>
              <w:rPr>
                <w:rFonts w:hint="eastAsia"/>
                <w:b/>
                <w:bCs/>
                <w:color w:val="auto"/>
                <w:highlight w:val="none"/>
              </w:rPr>
              <w:t>针对每条要求出具相关</w:t>
            </w:r>
            <w:r>
              <w:rPr>
                <w:rFonts w:hint="eastAsia"/>
                <w:b/>
                <w:bCs/>
                <w:color w:val="auto"/>
                <w:highlight w:val="none"/>
                <w:lang w:val="en-US" w:eastAsia="zh-CN"/>
              </w:rPr>
              <w:t>产品截图</w:t>
            </w:r>
            <w:r>
              <w:rPr>
                <w:rFonts w:hint="eastAsia"/>
                <w:b/>
                <w:bCs/>
                <w:color w:val="auto"/>
                <w:highlight w:val="none"/>
              </w:rPr>
              <w:t>，无产品截图的，视为本项参数不满足要求</w:t>
            </w:r>
            <w:r>
              <w:rPr>
                <w:rFonts w:hint="eastAsia"/>
                <w:b/>
                <w:bCs/>
                <w:color w:val="auto"/>
                <w:highlight w:val="none"/>
                <w:lang w:val="en-US" w:eastAsia="zh-CN"/>
              </w:rPr>
              <w:t>不得分</w:t>
            </w:r>
            <w:r>
              <w:rPr>
                <w:b/>
                <w:bCs/>
                <w:color w:val="auto"/>
                <w:highlight w:val="none"/>
              </w:rPr>
              <w:t>。</w:t>
            </w:r>
          </w:p>
        </w:tc>
        <w:tc>
          <w:tcPr>
            <w:tcW w:w="809" w:type="dxa"/>
            <w:vAlign w:val="center"/>
          </w:tcPr>
          <w:p>
            <w:pPr>
              <w:tabs>
                <w:tab w:val="decimal" w:pos="315"/>
                <w:tab w:val="left" w:pos="630"/>
              </w:tabs>
              <w:spacing w:line="276" w:lineRule="auto"/>
              <w:jc w:val="center"/>
              <w:rPr>
                <w:rFonts w:hint="eastAsia" w:ascii="宋体" w:hAnsi="宋体"/>
                <w:color w:val="auto"/>
                <w:sz w:val="21"/>
                <w:szCs w:val="21"/>
                <w:highlight w:val="none"/>
                <w:lang w:val="en-US" w:eastAsia="zh-CN"/>
              </w:rPr>
            </w:pPr>
            <w:r>
              <w:rPr>
                <w:rFonts w:hint="eastAsia"/>
                <w:color w:val="auto"/>
                <w:lang w:val="en-US" w:eastAsia="zh-CN"/>
              </w:rPr>
              <w:t>42分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916" w:type="dxa"/>
            <w:vMerge w:val="continue"/>
            <w:vAlign w:val="center"/>
          </w:tcPr>
          <w:p>
            <w:pPr>
              <w:widowControl/>
              <w:spacing w:line="360" w:lineRule="auto"/>
              <w:jc w:val="center"/>
              <w:rPr>
                <w:rFonts w:hint="default" w:ascii="宋体" w:hAnsi="宋体" w:cs="宋体"/>
                <w:color w:val="auto"/>
                <w:spacing w:val="15"/>
                <w:kern w:val="0"/>
                <w:szCs w:val="21"/>
                <w:shd w:val="clear" w:color="auto" w:fill="FFFFFF"/>
                <w:lang w:val="en-US" w:eastAsia="zh-CN"/>
              </w:rPr>
            </w:pPr>
          </w:p>
        </w:tc>
        <w:tc>
          <w:tcPr>
            <w:tcW w:w="1087" w:type="dxa"/>
            <w:vAlign w:val="center"/>
          </w:tcPr>
          <w:p>
            <w:pPr>
              <w:tabs>
                <w:tab w:val="decimal" w:pos="315"/>
                <w:tab w:val="left" w:pos="630"/>
              </w:tabs>
              <w:spacing w:line="276" w:lineRule="auto"/>
              <w:jc w:val="center"/>
              <w:rPr>
                <w:rFonts w:hint="eastAsia" w:ascii="宋体" w:hAnsi="宋体"/>
                <w:color w:val="auto"/>
                <w:szCs w:val="21"/>
                <w:highlight w:val="none"/>
              </w:rPr>
            </w:pPr>
            <w:r>
              <w:rPr>
                <w:rFonts w:hint="eastAsia"/>
                <w:color w:val="auto"/>
                <w:lang w:val="en-US"/>
              </w:rPr>
              <w:t>技术方案</w:t>
            </w:r>
          </w:p>
        </w:tc>
        <w:tc>
          <w:tcPr>
            <w:tcW w:w="6443" w:type="dxa"/>
            <w:vAlign w:val="center"/>
          </w:tcPr>
          <w:p>
            <w:pPr>
              <w:tabs>
                <w:tab w:val="decimal" w:pos="315"/>
                <w:tab w:val="left" w:pos="630"/>
              </w:tabs>
              <w:spacing w:line="276" w:lineRule="auto"/>
              <w:rPr>
                <w:rFonts w:hint="eastAsia"/>
                <w:color w:val="auto"/>
                <w:lang w:val="en-US"/>
              </w:rPr>
            </w:pPr>
            <w:r>
              <w:rPr>
                <w:rFonts w:hint="eastAsia"/>
                <w:color w:val="auto"/>
                <w:lang w:val="en-US"/>
              </w:rPr>
              <w:t>根据</w:t>
            </w:r>
            <w:r>
              <w:rPr>
                <w:rFonts w:hint="eastAsia"/>
                <w:color w:val="auto"/>
                <w:lang w:val="en-US" w:eastAsia="zh-CN"/>
              </w:rPr>
              <w:t>供应商</w:t>
            </w:r>
            <w:r>
              <w:rPr>
                <w:rFonts w:hint="eastAsia"/>
                <w:color w:val="auto"/>
                <w:lang w:val="en-US"/>
              </w:rPr>
              <w:t>针对本项目的采购需求提供的项目技术方案进行评审：</w:t>
            </w:r>
          </w:p>
          <w:p>
            <w:pPr>
              <w:tabs>
                <w:tab w:val="decimal" w:pos="315"/>
                <w:tab w:val="left" w:pos="630"/>
              </w:tabs>
              <w:spacing w:line="276" w:lineRule="auto"/>
              <w:rPr>
                <w:color w:val="auto"/>
                <w:lang w:val="en-US"/>
              </w:rPr>
            </w:pPr>
            <w:r>
              <w:rPr>
                <w:rFonts w:hint="eastAsia"/>
                <w:color w:val="auto"/>
                <w:lang w:val="en-US"/>
              </w:rPr>
              <w:t xml:space="preserve">1.项目整体建设方案完整，方案中的建设目标、总体建设内容完全满足采购需求，得15分: </w:t>
            </w:r>
          </w:p>
          <w:p>
            <w:pPr>
              <w:tabs>
                <w:tab w:val="decimal" w:pos="315"/>
                <w:tab w:val="left" w:pos="630"/>
              </w:tabs>
              <w:spacing w:line="276" w:lineRule="auto"/>
              <w:rPr>
                <w:color w:val="auto"/>
                <w:lang w:val="en-US"/>
              </w:rPr>
            </w:pPr>
            <w:r>
              <w:rPr>
                <w:rFonts w:hint="eastAsia"/>
                <w:color w:val="auto"/>
                <w:lang w:val="en-US"/>
              </w:rPr>
              <w:t xml:space="preserve">2.项目整体建设方案基本完整，方案中的建设目标、总体建设内容部分满足采购需求，得8分; </w:t>
            </w:r>
          </w:p>
          <w:p>
            <w:pPr>
              <w:tabs>
                <w:tab w:val="decimal" w:pos="315"/>
                <w:tab w:val="left" w:pos="630"/>
              </w:tabs>
              <w:spacing w:line="276" w:lineRule="auto"/>
              <w:rPr>
                <w:color w:val="auto"/>
                <w:lang w:val="en-US"/>
              </w:rPr>
            </w:pPr>
            <w:r>
              <w:rPr>
                <w:rFonts w:hint="eastAsia"/>
                <w:color w:val="auto"/>
                <w:lang w:val="en-US"/>
              </w:rPr>
              <w:t xml:space="preserve">3.项目整体建设方案简单，方案中的建设目标、总体建设内容无法满足采购需求,得1分; </w:t>
            </w:r>
          </w:p>
          <w:p>
            <w:pPr>
              <w:tabs>
                <w:tab w:val="decimal" w:pos="315"/>
                <w:tab w:val="left" w:pos="630"/>
              </w:tabs>
              <w:spacing w:line="276" w:lineRule="auto"/>
              <w:rPr>
                <w:rFonts w:hint="eastAsia" w:ascii="宋体" w:hAnsi="宋体" w:cs="宋体"/>
                <w:b/>
                <w:bCs w:val="0"/>
                <w:color w:val="auto"/>
                <w:highlight w:val="yellow"/>
                <w:lang w:val="zh-CN"/>
              </w:rPr>
            </w:pPr>
            <w:r>
              <w:rPr>
                <w:rFonts w:hint="eastAsia"/>
                <w:color w:val="auto"/>
                <w:lang w:val="en-US"/>
              </w:rPr>
              <w:t>4.无提供方案不得分。</w:t>
            </w:r>
          </w:p>
        </w:tc>
        <w:tc>
          <w:tcPr>
            <w:tcW w:w="809" w:type="dxa"/>
            <w:vAlign w:val="center"/>
          </w:tcPr>
          <w:p>
            <w:pPr>
              <w:tabs>
                <w:tab w:val="decimal" w:pos="315"/>
                <w:tab w:val="left" w:pos="630"/>
              </w:tabs>
              <w:spacing w:line="276" w:lineRule="auto"/>
              <w:jc w:val="center"/>
              <w:rPr>
                <w:rFonts w:hint="default" w:ascii="宋体" w:hAnsi="宋体"/>
                <w:color w:val="auto"/>
                <w:sz w:val="21"/>
                <w:szCs w:val="21"/>
                <w:highlight w:val="none"/>
                <w:lang w:val="en-US" w:eastAsia="zh-CN"/>
              </w:rPr>
            </w:pPr>
            <w:r>
              <w:rPr>
                <w:rFonts w:hint="eastAsia" w:ascii="Times New Roman" w:hAnsi="Times New Roman" w:eastAsia="宋体" w:cs="Times New Roman"/>
                <w:color w:val="auto"/>
                <w:lang w:val="en-US" w:eastAsia="zh-CN"/>
              </w:rPr>
              <w:t>1</w:t>
            </w:r>
            <w:r>
              <w:rPr>
                <w:rFonts w:hint="eastAsia" w:cs="Times New Roman"/>
                <w:color w:val="auto"/>
                <w:lang w:val="en-US" w:eastAsia="zh-CN"/>
              </w:rPr>
              <w:t>5</w:t>
            </w:r>
            <w:r>
              <w:rPr>
                <w:rFonts w:hint="eastAsia" w:ascii="宋体" w:hAnsi="宋体"/>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jc w:val="center"/>
        </w:trPr>
        <w:tc>
          <w:tcPr>
            <w:tcW w:w="916" w:type="dxa"/>
            <w:vMerge w:val="continue"/>
            <w:vAlign w:val="center"/>
          </w:tcPr>
          <w:p>
            <w:pPr>
              <w:widowControl/>
              <w:spacing w:line="360" w:lineRule="auto"/>
              <w:jc w:val="center"/>
              <w:rPr>
                <w:rFonts w:hint="eastAsia" w:ascii="宋体" w:hAnsi="宋体" w:eastAsia="宋体" w:cs="宋体"/>
                <w:color w:val="auto"/>
                <w:spacing w:val="15"/>
                <w:kern w:val="0"/>
                <w:szCs w:val="21"/>
                <w:shd w:val="clear" w:color="auto" w:fill="FFFFFF"/>
                <w:lang w:eastAsia="zh-CN"/>
              </w:rPr>
            </w:pPr>
          </w:p>
        </w:tc>
        <w:tc>
          <w:tcPr>
            <w:tcW w:w="1087" w:type="dxa"/>
            <w:vAlign w:val="center"/>
          </w:tcPr>
          <w:p>
            <w:pPr>
              <w:tabs>
                <w:tab w:val="decimal" w:pos="315"/>
                <w:tab w:val="left" w:pos="630"/>
              </w:tabs>
              <w:spacing w:line="276" w:lineRule="auto"/>
              <w:jc w:val="center"/>
              <w:rPr>
                <w:rFonts w:ascii="宋体" w:hAnsi="宋体"/>
                <w:color w:val="auto"/>
                <w:szCs w:val="21"/>
              </w:rPr>
            </w:pPr>
            <w:r>
              <w:rPr>
                <w:rFonts w:hint="eastAsia"/>
                <w:color w:val="auto"/>
                <w:lang w:val="en-US"/>
              </w:rPr>
              <w:t>项目实施方案</w:t>
            </w:r>
          </w:p>
        </w:tc>
        <w:tc>
          <w:tcPr>
            <w:tcW w:w="6443" w:type="dxa"/>
            <w:vAlign w:val="center"/>
          </w:tcPr>
          <w:p>
            <w:pPr>
              <w:tabs>
                <w:tab w:val="decimal" w:pos="315"/>
                <w:tab w:val="left" w:pos="630"/>
              </w:tabs>
              <w:spacing w:line="276" w:lineRule="auto"/>
              <w:rPr>
                <w:rFonts w:hint="default" w:ascii="宋体" w:eastAsia="宋体" w:cs="宋体"/>
                <w:bCs/>
                <w:color w:val="auto"/>
                <w:sz w:val="21"/>
                <w:szCs w:val="21"/>
                <w:lang w:val="zh-CN"/>
              </w:rPr>
            </w:pPr>
            <w:r>
              <w:rPr>
                <w:rFonts w:hint="default" w:ascii="宋体" w:eastAsia="宋体" w:cs="宋体"/>
                <w:bCs/>
                <w:color w:val="auto"/>
                <w:sz w:val="21"/>
                <w:szCs w:val="21"/>
                <w:lang w:val="zh-CN"/>
              </w:rPr>
              <w:t>根据</w:t>
            </w:r>
            <w:r>
              <w:rPr>
                <w:rFonts w:hint="eastAsia" w:ascii="宋体" w:eastAsia="宋体" w:cs="宋体"/>
                <w:bCs/>
                <w:color w:val="auto"/>
                <w:sz w:val="21"/>
                <w:szCs w:val="21"/>
                <w:lang w:val="zh-CN"/>
              </w:rPr>
              <w:t>供应商</w:t>
            </w:r>
            <w:r>
              <w:rPr>
                <w:rFonts w:hint="default" w:ascii="宋体" w:eastAsia="宋体" w:cs="宋体"/>
                <w:bCs/>
                <w:color w:val="auto"/>
                <w:sz w:val="21"/>
                <w:szCs w:val="21"/>
                <w:lang w:val="zh-CN"/>
              </w:rPr>
              <w:t>提供的</w:t>
            </w:r>
            <w:r>
              <w:rPr>
                <w:rFonts w:hint="eastAsia"/>
                <w:color w:val="auto"/>
                <w:lang w:val="en-US"/>
              </w:rPr>
              <w:t>项目实施方案</w:t>
            </w:r>
            <w:r>
              <w:rPr>
                <w:rFonts w:hint="default" w:ascii="宋体" w:eastAsia="宋体" w:cs="宋体"/>
                <w:bCs/>
                <w:color w:val="auto"/>
                <w:sz w:val="21"/>
                <w:szCs w:val="21"/>
                <w:lang w:val="zh-CN"/>
              </w:rPr>
              <w:t>进行评审:</w:t>
            </w:r>
          </w:p>
          <w:p>
            <w:pPr>
              <w:tabs>
                <w:tab w:val="decimal" w:pos="315"/>
                <w:tab w:val="left" w:pos="630"/>
              </w:tabs>
              <w:spacing w:line="276" w:lineRule="auto"/>
              <w:rPr>
                <w:rFonts w:hint="eastAsia"/>
                <w:color w:val="auto"/>
                <w:lang w:val="en-US"/>
              </w:rPr>
            </w:pPr>
            <w:r>
              <w:rPr>
                <w:rFonts w:hint="eastAsia"/>
                <w:color w:val="auto"/>
                <w:lang w:val="en-US"/>
              </w:rPr>
              <w:t>1.实施方案完善，</w:t>
            </w:r>
            <w:r>
              <w:rPr>
                <w:rFonts w:hint="eastAsia"/>
                <w:color w:val="auto"/>
                <w:lang w:val="en-US" w:eastAsia="zh-CN"/>
              </w:rPr>
              <w:t>方案内容</w:t>
            </w:r>
            <w:r>
              <w:rPr>
                <w:rFonts w:hint="eastAsia"/>
                <w:color w:val="auto"/>
                <w:lang w:val="en-US"/>
              </w:rPr>
              <w:t xml:space="preserve">全面、培训计划合理可行的，得15分； </w:t>
            </w:r>
          </w:p>
          <w:p>
            <w:pPr>
              <w:tabs>
                <w:tab w:val="decimal" w:pos="315"/>
                <w:tab w:val="left" w:pos="630"/>
              </w:tabs>
              <w:spacing w:line="276" w:lineRule="auto"/>
              <w:rPr>
                <w:rFonts w:hint="eastAsia"/>
                <w:color w:val="auto"/>
                <w:lang w:val="en-US"/>
              </w:rPr>
            </w:pPr>
            <w:r>
              <w:rPr>
                <w:rFonts w:hint="eastAsia"/>
                <w:color w:val="auto"/>
                <w:lang w:val="en-US"/>
              </w:rPr>
              <w:t>2.实施方案一般，</w:t>
            </w:r>
            <w:r>
              <w:rPr>
                <w:rFonts w:hint="eastAsia"/>
                <w:color w:val="auto"/>
                <w:lang w:val="en-US" w:eastAsia="zh-CN"/>
              </w:rPr>
              <w:t>方案内容一般、</w:t>
            </w:r>
            <w:r>
              <w:rPr>
                <w:rFonts w:hint="eastAsia"/>
                <w:color w:val="auto"/>
                <w:lang w:val="en-US"/>
              </w:rPr>
              <w:t xml:space="preserve">培训计划部分可行的，得8分； </w:t>
            </w:r>
          </w:p>
          <w:p>
            <w:pPr>
              <w:tabs>
                <w:tab w:val="decimal" w:pos="315"/>
                <w:tab w:val="left" w:pos="630"/>
              </w:tabs>
              <w:spacing w:line="276" w:lineRule="auto"/>
              <w:rPr>
                <w:rFonts w:hint="eastAsia"/>
                <w:color w:val="auto"/>
                <w:lang w:val="en-US"/>
              </w:rPr>
            </w:pPr>
            <w:r>
              <w:rPr>
                <w:rFonts w:hint="eastAsia"/>
                <w:color w:val="auto"/>
                <w:lang w:val="en-US"/>
              </w:rPr>
              <w:t>3.实施方案较差，</w:t>
            </w:r>
            <w:r>
              <w:rPr>
                <w:rFonts w:hint="eastAsia"/>
                <w:color w:val="auto"/>
                <w:lang w:val="en-US" w:eastAsia="zh-CN"/>
              </w:rPr>
              <w:t>方案内容较差、</w:t>
            </w:r>
            <w:r>
              <w:rPr>
                <w:rFonts w:hint="eastAsia"/>
                <w:color w:val="auto"/>
                <w:lang w:val="en-US"/>
              </w:rPr>
              <w:t xml:space="preserve">培训计划实行性差的，得1分； </w:t>
            </w:r>
          </w:p>
          <w:p>
            <w:pPr>
              <w:tabs>
                <w:tab w:val="decimal" w:pos="315"/>
                <w:tab w:val="left" w:pos="630"/>
              </w:tabs>
              <w:spacing w:line="276" w:lineRule="auto"/>
              <w:rPr>
                <w:rFonts w:hint="eastAsia" w:ascii="Times New Roman" w:hAnsi="Times New Roman" w:eastAsia="宋体" w:cs="Times New Roman"/>
                <w:color w:val="auto"/>
                <w:kern w:val="2"/>
                <w:sz w:val="21"/>
                <w:szCs w:val="24"/>
                <w:lang w:val="en-US" w:eastAsia="zh-CN" w:bidi="ar-SA"/>
              </w:rPr>
            </w:pPr>
            <w:r>
              <w:rPr>
                <w:rFonts w:hint="eastAsia"/>
                <w:color w:val="auto"/>
                <w:lang w:val="en-US"/>
              </w:rPr>
              <w:t>4.无提供方案不得分。</w:t>
            </w:r>
          </w:p>
        </w:tc>
        <w:tc>
          <w:tcPr>
            <w:tcW w:w="809" w:type="dxa"/>
            <w:vAlign w:val="center"/>
          </w:tcPr>
          <w:p>
            <w:pPr>
              <w:tabs>
                <w:tab w:val="decimal" w:pos="315"/>
                <w:tab w:val="left" w:pos="630"/>
              </w:tabs>
              <w:spacing w:line="276" w:lineRule="auto"/>
              <w:jc w:val="center"/>
              <w:rPr>
                <w:rFonts w:ascii="宋体" w:hAnsi="宋体" w:cs="宋体"/>
                <w:color w:val="auto"/>
              </w:rPr>
            </w:pPr>
            <w:r>
              <w:rPr>
                <w:rFonts w:hint="eastAsia"/>
                <w:color w:val="auto"/>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916" w:type="dxa"/>
            <w:vMerge w:val="continue"/>
            <w:vAlign w:val="center"/>
          </w:tcPr>
          <w:p>
            <w:pPr>
              <w:widowControl/>
              <w:spacing w:line="360" w:lineRule="auto"/>
              <w:jc w:val="center"/>
              <w:rPr>
                <w:rFonts w:hint="default" w:ascii="宋体" w:hAnsi="宋体" w:cs="宋体"/>
                <w:color w:val="auto"/>
                <w:spacing w:val="15"/>
                <w:kern w:val="0"/>
                <w:szCs w:val="21"/>
                <w:shd w:val="clear" w:color="auto" w:fill="FFFFFF"/>
                <w:lang w:val="en-US" w:eastAsia="zh-CN"/>
              </w:rPr>
            </w:pPr>
          </w:p>
        </w:tc>
        <w:tc>
          <w:tcPr>
            <w:tcW w:w="1087" w:type="dxa"/>
            <w:vAlign w:val="center"/>
          </w:tcPr>
          <w:p>
            <w:pPr>
              <w:tabs>
                <w:tab w:val="decimal" w:pos="315"/>
                <w:tab w:val="left" w:pos="630"/>
              </w:tabs>
              <w:spacing w:line="276" w:lineRule="auto"/>
              <w:jc w:val="center"/>
              <w:rPr>
                <w:rFonts w:hint="default" w:eastAsia="宋体"/>
                <w:color w:val="auto"/>
                <w:lang w:val="en-US" w:eastAsia="zh-CN"/>
              </w:rPr>
            </w:pPr>
            <w:r>
              <w:rPr>
                <w:rFonts w:hint="eastAsia"/>
                <w:color w:val="auto"/>
                <w:lang w:val="en-US"/>
              </w:rPr>
              <w:t>应急预案</w:t>
            </w:r>
          </w:p>
        </w:tc>
        <w:tc>
          <w:tcPr>
            <w:tcW w:w="6443" w:type="dxa"/>
            <w:vAlign w:val="center"/>
          </w:tcPr>
          <w:p>
            <w:pPr>
              <w:pStyle w:val="9"/>
              <w:keepNext w:val="0"/>
              <w:keepLines w:val="0"/>
              <w:widowControl/>
              <w:suppressLineNumbers w:val="0"/>
              <w:spacing w:before="0" w:beforeAutospacing="0" w:after="0" w:afterAutospacing="0" w:line="216" w:lineRule="auto"/>
              <w:ind w:left="0" w:right="0" w:firstLine="0" w:firstLineChars="0"/>
              <w:rPr>
                <w:rFonts w:hint="default" w:ascii="宋体" w:eastAsia="宋体" w:cs="宋体"/>
                <w:bCs/>
                <w:color w:val="auto"/>
                <w:sz w:val="21"/>
                <w:szCs w:val="21"/>
                <w:lang w:val="zh-CN"/>
              </w:rPr>
            </w:pPr>
            <w:r>
              <w:rPr>
                <w:rFonts w:hint="default" w:ascii="宋体" w:eastAsia="宋体" w:cs="宋体"/>
                <w:bCs/>
                <w:color w:val="auto"/>
                <w:sz w:val="21"/>
                <w:szCs w:val="21"/>
                <w:lang w:val="zh-CN"/>
              </w:rPr>
              <w:t>根据</w:t>
            </w:r>
            <w:r>
              <w:rPr>
                <w:rFonts w:hint="eastAsia" w:ascii="宋体" w:eastAsia="宋体" w:cs="宋体"/>
                <w:bCs/>
                <w:color w:val="auto"/>
                <w:sz w:val="21"/>
                <w:szCs w:val="21"/>
                <w:lang w:val="zh-CN"/>
              </w:rPr>
              <w:t>供应商</w:t>
            </w:r>
            <w:r>
              <w:rPr>
                <w:rFonts w:hint="default" w:ascii="宋体" w:eastAsia="宋体" w:cs="宋体"/>
                <w:bCs/>
                <w:color w:val="auto"/>
                <w:sz w:val="21"/>
                <w:szCs w:val="21"/>
                <w:lang w:val="zh-CN"/>
              </w:rPr>
              <w:t xml:space="preserve">提供的应急预案进行评审: </w:t>
            </w:r>
          </w:p>
          <w:p>
            <w:pPr>
              <w:pStyle w:val="9"/>
              <w:keepNext w:val="0"/>
              <w:keepLines w:val="0"/>
              <w:widowControl/>
              <w:suppressLineNumbers w:val="0"/>
              <w:spacing w:before="0" w:beforeAutospacing="0" w:after="0" w:afterAutospacing="0" w:line="216" w:lineRule="auto"/>
              <w:ind w:left="0" w:right="0" w:firstLine="0" w:firstLineChars="0"/>
              <w:rPr>
                <w:rFonts w:hint="default" w:ascii="宋体" w:eastAsia="宋体" w:cs="宋体"/>
                <w:bCs/>
                <w:color w:val="auto"/>
                <w:sz w:val="21"/>
                <w:szCs w:val="21"/>
                <w:lang w:val="zh-CN"/>
              </w:rPr>
            </w:pPr>
            <w:r>
              <w:rPr>
                <w:rFonts w:hint="default" w:ascii="宋体" w:eastAsia="宋体" w:cs="宋体"/>
                <w:bCs/>
                <w:color w:val="auto"/>
                <w:sz w:val="21"/>
                <w:szCs w:val="21"/>
                <w:lang w:val="zh-CN"/>
              </w:rPr>
              <w:t>1.应急方案考虑充分周全，能及时解决突发情况，能保障采购人日常工作顺利进行的，得</w:t>
            </w:r>
            <w:r>
              <w:rPr>
                <w:rFonts w:hint="eastAsia" w:ascii="宋体" w:eastAsia="宋体" w:cs="宋体"/>
                <w:bCs/>
                <w:color w:val="auto"/>
                <w:sz w:val="21"/>
                <w:szCs w:val="21"/>
                <w:lang w:val="en-US" w:eastAsia="zh-CN"/>
              </w:rPr>
              <w:t>9</w:t>
            </w:r>
            <w:r>
              <w:rPr>
                <w:rFonts w:hint="default" w:ascii="宋体" w:eastAsia="宋体" w:cs="宋体"/>
                <w:bCs/>
                <w:color w:val="auto"/>
                <w:sz w:val="21"/>
                <w:szCs w:val="21"/>
                <w:lang w:val="zh-CN"/>
              </w:rPr>
              <w:t>分；</w:t>
            </w:r>
          </w:p>
          <w:p>
            <w:pPr>
              <w:pStyle w:val="9"/>
              <w:keepNext w:val="0"/>
              <w:keepLines w:val="0"/>
              <w:widowControl/>
              <w:suppressLineNumbers w:val="0"/>
              <w:spacing w:before="0" w:beforeAutospacing="0" w:after="0" w:afterAutospacing="0" w:line="216" w:lineRule="auto"/>
              <w:ind w:left="0" w:right="0" w:firstLine="0" w:firstLineChars="0"/>
              <w:rPr>
                <w:rFonts w:hint="default" w:ascii="宋体" w:eastAsia="宋体" w:cs="宋体"/>
                <w:bCs/>
                <w:color w:val="auto"/>
                <w:sz w:val="21"/>
                <w:szCs w:val="21"/>
                <w:lang w:val="zh-CN"/>
              </w:rPr>
            </w:pPr>
            <w:r>
              <w:rPr>
                <w:rFonts w:hint="default" w:ascii="宋体" w:eastAsia="宋体" w:cs="宋体"/>
                <w:bCs/>
                <w:color w:val="auto"/>
                <w:sz w:val="21"/>
                <w:szCs w:val="21"/>
                <w:lang w:val="zh-CN"/>
              </w:rPr>
              <w:t>2.应急方案考虑比较周全，</w:t>
            </w:r>
            <w:r>
              <w:rPr>
                <w:rFonts w:hint="eastAsia" w:ascii="宋体" w:eastAsia="宋体" w:cs="宋体"/>
                <w:bCs/>
                <w:color w:val="auto"/>
                <w:sz w:val="21"/>
                <w:szCs w:val="21"/>
                <w:lang w:val="zh-CN"/>
              </w:rPr>
              <w:t>较</w:t>
            </w:r>
            <w:r>
              <w:rPr>
                <w:rFonts w:hint="default" w:ascii="宋体" w:eastAsia="宋体" w:cs="宋体"/>
                <w:bCs/>
                <w:color w:val="auto"/>
                <w:sz w:val="21"/>
                <w:szCs w:val="21"/>
                <w:lang w:val="zh-CN"/>
              </w:rPr>
              <w:t>能及时解决突发情况，较能保障采购人日常工作顺利进行的，得</w:t>
            </w:r>
            <w:r>
              <w:rPr>
                <w:rFonts w:hint="eastAsia" w:ascii="宋体" w:eastAsia="宋体" w:cs="宋体"/>
                <w:bCs/>
                <w:color w:val="auto"/>
                <w:sz w:val="21"/>
                <w:szCs w:val="21"/>
                <w:lang w:val="en-US" w:eastAsia="zh-CN"/>
              </w:rPr>
              <w:t>6</w:t>
            </w:r>
            <w:r>
              <w:rPr>
                <w:rFonts w:hint="default" w:ascii="宋体" w:eastAsia="宋体" w:cs="宋体"/>
                <w:bCs/>
                <w:color w:val="auto"/>
                <w:sz w:val="21"/>
                <w:szCs w:val="21"/>
                <w:lang w:val="zh-CN"/>
              </w:rPr>
              <w:t>分；</w:t>
            </w:r>
          </w:p>
          <w:p>
            <w:pPr>
              <w:pStyle w:val="9"/>
              <w:keepNext w:val="0"/>
              <w:keepLines w:val="0"/>
              <w:widowControl/>
              <w:suppressLineNumbers w:val="0"/>
              <w:spacing w:before="0" w:beforeAutospacing="0" w:after="0" w:afterAutospacing="0" w:line="216" w:lineRule="auto"/>
              <w:ind w:left="0" w:right="0" w:firstLine="0" w:firstLineChars="0"/>
              <w:rPr>
                <w:rFonts w:hint="default" w:ascii="宋体" w:eastAsia="宋体" w:cs="宋体"/>
                <w:bCs/>
                <w:color w:val="auto"/>
                <w:sz w:val="21"/>
                <w:szCs w:val="21"/>
                <w:lang w:val="zh-CN"/>
              </w:rPr>
            </w:pPr>
            <w:r>
              <w:rPr>
                <w:rFonts w:hint="default" w:ascii="宋体" w:eastAsia="宋体" w:cs="宋体"/>
                <w:bCs/>
                <w:color w:val="auto"/>
                <w:sz w:val="21"/>
                <w:szCs w:val="21"/>
                <w:lang w:val="zh-CN"/>
              </w:rPr>
              <w:t>3.应急方案考虑不周全，不能解决突发情况需求，不能保障采购人日常工作顺利进行的，得</w:t>
            </w:r>
            <w:r>
              <w:rPr>
                <w:rFonts w:hint="eastAsia" w:ascii="宋体" w:eastAsia="宋体" w:cs="宋体"/>
                <w:bCs/>
                <w:color w:val="auto"/>
                <w:sz w:val="21"/>
                <w:szCs w:val="21"/>
                <w:lang w:val="en-US" w:eastAsia="zh-CN"/>
              </w:rPr>
              <w:t>3</w:t>
            </w:r>
            <w:r>
              <w:rPr>
                <w:rFonts w:hint="default" w:ascii="宋体" w:eastAsia="宋体" w:cs="宋体"/>
                <w:bCs/>
                <w:color w:val="auto"/>
                <w:sz w:val="21"/>
                <w:szCs w:val="21"/>
                <w:lang w:val="zh-CN"/>
              </w:rPr>
              <w:t>分；</w:t>
            </w:r>
          </w:p>
          <w:p>
            <w:pPr>
              <w:pStyle w:val="9"/>
              <w:keepNext w:val="0"/>
              <w:keepLines w:val="0"/>
              <w:widowControl/>
              <w:suppressLineNumbers w:val="0"/>
              <w:spacing w:before="0" w:beforeAutospacing="0" w:after="0" w:afterAutospacing="0" w:line="216" w:lineRule="auto"/>
              <w:ind w:left="0" w:right="0" w:firstLine="0" w:firstLineChars="0"/>
              <w:rPr>
                <w:rFonts w:hint="default" w:ascii="宋体" w:eastAsia="宋体" w:cs="宋体"/>
                <w:bCs/>
                <w:color w:val="auto"/>
                <w:sz w:val="21"/>
                <w:szCs w:val="21"/>
                <w:lang w:val="zh-CN"/>
              </w:rPr>
            </w:pPr>
            <w:r>
              <w:rPr>
                <w:rFonts w:hint="default" w:ascii="宋体" w:eastAsia="宋体" w:cs="宋体"/>
                <w:bCs/>
                <w:color w:val="auto"/>
                <w:sz w:val="21"/>
                <w:szCs w:val="21"/>
                <w:lang w:val="zh-CN"/>
              </w:rPr>
              <w:t>4.无提供方案不得分。</w:t>
            </w:r>
          </w:p>
        </w:tc>
        <w:tc>
          <w:tcPr>
            <w:tcW w:w="809" w:type="dxa"/>
            <w:vAlign w:val="center"/>
          </w:tcPr>
          <w:p>
            <w:pPr>
              <w:tabs>
                <w:tab w:val="decimal" w:pos="315"/>
                <w:tab w:val="left" w:pos="630"/>
              </w:tabs>
              <w:spacing w:line="276" w:lineRule="auto"/>
              <w:jc w:val="center"/>
              <w:rPr>
                <w:rFonts w:hint="default"/>
                <w:color w:val="auto"/>
                <w:lang w:val="en-US" w:eastAsia="zh-CN"/>
              </w:rPr>
            </w:pPr>
            <w:r>
              <w:rPr>
                <w:rFonts w:hint="eastAsia"/>
                <w:color w:val="auto"/>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916" w:type="dxa"/>
            <w:vMerge w:val="continue"/>
            <w:vAlign w:val="center"/>
          </w:tcPr>
          <w:p>
            <w:pPr>
              <w:widowControl/>
              <w:spacing w:line="360" w:lineRule="auto"/>
              <w:jc w:val="center"/>
              <w:rPr>
                <w:rFonts w:hint="default" w:ascii="宋体" w:hAnsi="宋体" w:cs="宋体"/>
                <w:color w:val="auto"/>
                <w:spacing w:val="15"/>
                <w:kern w:val="0"/>
                <w:szCs w:val="21"/>
                <w:shd w:val="clear" w:color="auto" w:fill="FFFFFF"/>
                <w:lang w:val="en-US" w:eastAsia="zh-CN"/>
              </w:rPr>
            </w:pPr>
          </w:p>
        </w:tc>
        <w:tc>
          <w:tcPr>
            <w:tcW w:w="1087" w:type="dxa"/>
            <w:vAlign w:val="center"/>
          </w:tcPr>
          <w:p>
            <w:pPr>
              <w:tabs>
                <w:tab w:val="decimal" w:pos="315"/>
                <w:tab w:val="left" w:pos="630"/>
              </w:tabs>
              <w:spacing w:line="276" w:lineRule="auto"/>
              <w:jc w:val="center"/>
              <w:rPr>
                <w:rFonts w:hint="default" w:eastAsia="宋体"/>
                <w:color w:val="auto"/>
                <w:lang w:val="en-US" w:eastAsia="zh-CN"/>
              </w:rPr>
            </w:pPr>
            <w:r>
              <w:rPr>
                <w:rFonts w:hint="eastAsia"/>
                <w:color w:val="auto"/>
              </w:rPr>
              <w:t>售后服务方案</w:t>
            </w:r>
          </w:p>
        </w:tc>
        <w:tc>
          <w:tcPr>
            <w:tcW w:w="6443" w:type="dxa"/>
            <w:vAlign w:val="center"/>
          </w:tcPr>
          <w:p>
            <w:pPr>
              <w:pStyle w:val="9"/>
              <w:keepNext w:val="0"/>
              <w:keepLines w:val="0"/>
              <w:widowControl/>
              <w:suppressLineNumbers w:val="0"/>
              <w:spacing w:before="0" w:beforeAutospacing="0" w:after="0" w:afterAutospacing="0" w:line="216" w:lineRule="auto"/>
              <w:ind w:left="0" w:right="0"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根据</w:t>
            </w:r>
            <w:r>
              <w:rPr>
                <w:rFonts w:hint="eastAsia" w:ascii="宋体" w:eastAsia="宋体" w:cs="宋体"/>
                <w:bCs/>
                <w:color w:val="auto"/>
                <w:sz w:val="21"/>
                <w:szCs w:val="21"/>
                <w:lang w:eastAsia="zh-CN"/>
              </w:rPr>
              <w:t>供应商</w:t>
            </w:r>
            <w:r>
              <w:rPr>
                <w:rFonts w:hint="eastAsia" w:ascii="宋体" w:hAnsi="宋体" w:eastAsia="宋体" w:cs="宋体"/>
                <w:bCs/>
                <w:color w:val="auto"/>
                <w:sz w:val="21"/>
                <w:szCs w:val="21"/>
              </w:rPr>
              <w:t xml:space="preserve">提供的售后服务方案进行评审： </w:t>
            </w:r>
          </w:p>
          <w:p>
            <w:pPr>
              <w:pStyle w:val="9"/>
              <w:keepNext w:val="0"/>
              <w:keepLines w:val="0"/>
              <w:widowControl/>
              <w:suppressLineNumbers w:val="0"/>
              <w:spacing w:before="0" w:beforeAutospacing="0" w:after="0" w:afterAutospacing="0" w:line="216" w:lineRule="auto"/>
              <w:ind w:left="0" w:right="0"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1.服务方案规划合理、可行性强、针对性强的，得</w:t>
            </w:r>
            <w:r>
              <w:rPr>
                <w:rFonts w:hint="eastAsia" w:ascii="宋体" w:eastAsia="宋体" w:cs="宋体"/>
                <w:bCs/>
                <w:color w:val="auto"/>
                <w:sz w:val="21"/>
                <w:szCs w:val="21"/>
                <w:lang w:val="en-US" w:eastAsia="zh-CN"/>
              </w:rPr>
              <w:t>9</w:t>
            </w:r>
            <w:r>
              <w:rPr>
                <w:rFonts w:hint="eastAsia" w:ascii="宋体" w:hAnsi="宋体" w:eastAsia="宋体" w:cs="宋体"/>
                <w:bCs/>
                <w:color w:val="auto"/>
                <w:sz w:val="21"/>
                <w:szCs w:val="21"/>
              </w:rPr>
              <w:t xml:space="preserve">分； </w:t>
            </w:r>
          </w:p>
          <w:p>
            <w:pPr>
              <w:pStyle w:val="9"/>
              <w:keepNext w:val="0"/>
              <w:keepLines w:val="0"/>
              <w:widowControl/>
              <w:suppressLineNumbers w:val="0"/>
              <w:spacing w:before="0" w:beforeAutospacing="0" w:after="0" w:afterAutospacing="0" w:line="216" w:lineRule="auto"/>
              <w:ind w:left="0" w:right="0"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2.服务方案一般、可行性一般、针对性一般的，得</w:t>
            </w:r>
            <w:r>
              <w:rPr>
                <w:rFonts w:hint="eastAsia" w:ascii="宋体" w:eastAsia="宋体" w:cs="宋体"/>
                <w:bCs/>
                <w:color w:val="auto"/>
                <w:sz w:val="21"/>
                <w:szCs w:val="21"/>
                <w:lang w:val="en-US" w:eastAsia="zh-CN"/>
              </w:rPr>
              <w:t>6</w:t>
            </w:r>
            <w:r>
              <w:rPr>
                <w:rFonts w:hint="eastAsia" w:ascii="宋体" w:hAnsi="宋体" w:eastAsia="宋体" w:cs="宋体"/>
                <w:bCs/>
                <w:color w:val="auto"/>
                <w:sz w:val="21"/>
                <w:szCs w:val="21"/>
              </w:rPr>
              <w:t xml:space="preserve">分； </w:t>
            </w:r>
          </w:p>
          <w:p>
            <w:pPr>
              <w:pStyle w:val="9"/>
              <w:keepNext w:val="0"/>
              <w:keepLines w:val="0"/>
              <w:widowControl/>
              <w:suppressLineNumbers w:val="0"/>
              <w:spacing w:before="0" w:beforeAutospacing="0" w:after="0" w:afterAutospacing="0" w:line="216" w:lineRule="auto"/>
              <w:ind w:left="0" w:right="0"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3.服务方案较差、不具有可行性、针对性较差的，得</w:t>
            </w:r>
            <w:r>
              <w:rPr>
                <w:rFonts w:hint="eastAsia" w:ascii="宋体" w:eastAsia="宋体" w:cs="宋体"/>
                <w:bCs/>
                <w:color w:val="auto"/>
                <w:sz w:val="21"/>
                <w:szCs w:val="21"/>
                <w:lang w:val="en-US" w:eastAsia="zh-CN"/>
              </w:rPr>
              <w:t>3</w:t>
            </w:r>
            <w:r>
              <w:rPr>
                <w:rFonts w:hint="eastAsia" w:ascii="宋体" w:hAnsi="宋体" w:eastAsia="宋体" w:cs="宋体"/>
                <w:bCs/>
                <w:color w:val="auto"/>
                <w:sz w:val="21"/>
                <w:szCs w:val="21"/>
              </w:rPr>
              <w:t xml:space="preserve">分； </w:t>
            </w:r>
          </w:p>
          <w:p>
            <w:pPr>
              <w:pStyle w:val="9"/>
              <w:keepNext w:val="0"/>
              <w:keepLines w:val="0"/>
              <w:widowControl/>
              <w:suppressLineNumbers w:val="0"/>
              <w:spacing w:before="0" w:beforeAutospacing="0" w:after="0" w:afterAutospacing="0" w:line="216" w:lineRule="auto"/>
              <w:ind w:left="0" w:right="0" w:firstLine="0" w:firstLineChars="0"/>
              <w:rPr>
                <w:rFonts w:hint="default" w:ascii="宋体" w:eastAsia="宋体" w:cs="宋体"/>
                <w:bCs/>
                <w:color w:val="auto"/>
                <w:sz w:val="21"/>
                <w:szCs w:val="21"/>
                <w:lang w:val="zh-CN"/>
              </w:rPr>
            </w:pPr>
            <w:r>
              <w:rPr>
                <w:rFonts w:hint="eastAsia" w:ascii="宋体" w:hAnsi="宋体" w:eastAsia="宋体" w:cs="宋体"/>
                <w:bCs/>
                <w:color w:val="auto"/>
                <w:sz w:val="21"/>
                <w:szCs w:val="21"/>
              </w:rPr>
              <w:t>4.无提供方案不得分。</w:t>
            </w:r>
          </w:p>
        </w:tc>
        <w:tc>
          <w:tcPr>
            <w:tcW w:w="809" w:type="dxa"/>
            <w:vAlign w:val="center"/>
          </w:tcPr>
          <w:p>
            <w:pPr>
              <w:tabs>
                <w:tab w:val="decimal" w:pos="315"/>
                <w:tab w:val="left" w:pos="630"/>
              </w:tabs>
              <w:spacing w:line="276" w:lineRule="auto"/>
              <w:jc w:val="center"/>
              <w:rPr>
                <w:rFonts w:hint="default"/>
                <w:color w:val="auto"/>
                <w:lang w:val="en-US" w:eastAsia="zh-CN"/>
              </w:rPr>
            </w:pPr>
            <w:r>
              <w:rPr>
                <w:rFonts w:hint="eastAsia"/>
                <w:color w:val="auto"/>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jc w:val="center"/>
        </w:trPr>
        <w:tc>
          <w:tcPr>
            <w:tcW w:w="916" w:type="dxa"/>
            <w:vAlign w:val="center"/>
          </w:tcPr>
          <w:p>
            <w:pPr>
              <w:widowControl/>
              <w:spacing w:line="360" w:lineRule="auto"/>
              <w:jc w:val="center"/>
              <w:rPr>
                <w:rFonts w:hint="default" w:ascii="宋体" w:hAnsi="宋体" w:cs="宋体"/>
                <w:color w:val="auto"/>
                <w:spacing w:val="15"/>
                <w:kern w:val="0"/>
                <w:szCs w:val="21"/>
                <w:shd w:val="clear" w:color="auto" w:fill="FFFFFF"/>
                <w:lang w:val="en-US" w:eastAsia="zh-CN"/>
              </w:rPr>
            </w:pPr>
            <w:r>
              <w:rPr>
                <w:rFonts w:hint="eastAsia" w:ascii="宋体" w:hAnsi="宋体" w:cs="宋体"/>
                <w:b/>
                <w:bCs/>
                <w:color w:val="auto"/>
                <w:spacing w:val="15"/>
                <w:kern w:val="0"/>
                <w:szCs w:val="21"/>
                <w:shd w:val="clear" w:color="auto" w:fill="FFFFFF"/>
                <w:lang w:val="en-US" w:eastAsia="zh-CN"/>
              </w:rPr>
              <w:t>价格部分</w:t>
            </w:r>
          </w:p>
        </w:tc>
        <w:tc>
          <w:tcPr>
            <w:tcW w:w="1087" w:type="dxa"/>
            <w:vAlign w:val="center"/>
          </w:tcPr>
          <w:p>
            <w:pPr>
              <w:jc w:val="center"/>
              <w:rPr>
                <w:rFonts w:hint="eastAsia"/>
                <w:color w:val="auto"/>
                <w:szCs w:val="21"/>
                <w:highlight w:val="none"/>
              </w:rPr>
            </w:pPr>
            <w:r>
              <w:rPr>
                <w:rFonts w:hint="eastAsia" w:ascii="宋体" w:hAnsi="宋体" w:eastAsia="宋体" w:cs="宋体"/>
                <w:color w:val="auto"/>
                <w:szCs w:val="21"/>
              </w:rPr>
              <w:t>响应报价</w:t>
            </w:r>
          </w:p>
        </w:tc>
        <w:tc>
          <w:tcPr>
            <w:tcW w:w="6443" w:type="dxa"/>
            <w:vAlign w:val="top"/>
          </w:tcPr>
          <w:p>
            <w:pPr>
              <w:pStyle w:val="9"/>
              <w:keepNext w:val="0"/>
              <w:keepLines w:val="0"/>
              <w:widowControl/>
              <w:suppressLineNumbers w:val="0"/>
              <w:spacing w:before="0" w:beforeAutospacing="0" w:after="0" w:afterAutospacing="0" w:line="216" w:lineRule="auto"/>
              <w:ind w:left="0" w:right="0" w:firstLine="0" w:firstLineChars="0"/>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响应报价得分＝（评审基准价/响应报价）×价格分值</w:t>
            </w:r>
          </w:p>
          <w:p>
            <w:pPr>
              <w:pStyle w:val="9"/>
              <w:keepNext w:val="0"/>
              <w:keepLines w:val="0"/>
              <w:widowControl/>
              <w:suppressLineNumbers w:val="0"/>
              <w:spacing w:before="0" w:beforeAutospacing="0" w:after="0" w:afterAutospacing="0" w:line="216" w:lineRule="auto"/>
              <w:ind w:left="0" w:right="0" w:firstLine="0" w:firstLineChars="0"/>
              <w:rPr>
                <w:rFonts w:hint="eastAsia"/>
                <w:color w:val="auto"/>
                <w:lang w:val="en-US" w:eastAsia="zh-CN"/>
              </w:rPr>
            </w:pPr>
            <w:r>
              <w:rPr>
                <w:rFonts w:hint="eastAsia" w:ascii="宋体" w:hAnsi="宋体" w:eastAsia="宋体" w:cs="宋体"/>
                <w:bCs/>
                <w:color w:val="auto"/>
                <w:sz w:val="21"/>
                <w:szCs w:val="21"/>
                <w:lang w:val="zh-CN"/>
              </w:rPr>
              <w:t>（注：满足采购文件要求且响应价格最低的响应报价为评审基准价。最低报价不是成交的唯一依据。）</w:t>
            </w:r>
          </w:p>
        </w:tc>
        <w:tc>
          <w:tcPr>
            <w:tcW w:w="809" w:type="dxa"/>
            <w:vAlign w:val="center"/>
          </w:tcPr>
          <w:p>
            <w:pPr>
              <w:spacing w:line="360" w:lineRule="auto"/>
              <w:jc w:val="center"/>
              <w:rPr>
                <w:rFonts w:hint="default" w:ascii="宋体" w:hAnsi="宋体" w:cs="宋体"/>
                <w:color w:val="auto"/>
                <w:szCs w:val="21"/>
                <w:highlight w:val="none"/>
                <w:lang w:val="en-US" w:eastAsia="zh-CN"/>
              </w:rPr>
            </w:pPr>
            <w:r>
              <w:rPr>
                <w:rFonts w:hint="eastAsia" w:ascii="Times New Roman" w:hAnsi="Times New Roman" w:eastAsia="宋体" w:cs="Times New Roman"/>
                <w:color w:val="auto"/>
                <w:lang w:val="en-US" w:eastAsia="zh-CN"/>
              </w:rPr>
              <w:t>10</w:t>
            </w:r>
            <w:r>
              <w:rPr>
                <w:rFonts w:hint="eastAsia" w:ascii="宋体" w:hAnsi="宋体" w:cs="宋体"/>
                <w:color w:val="auto"/>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8446" w:type="dxa"/>
            <w:gridSpan w:val="3"/>
            <w:vAlign w:val="center"/>
          </w:tcPr>
          <w:p>
            <w:pPr>
              <w:spacing w:line="360" w:lineRule="auto"/>
              <w:jc w:val="center"/>
              <w:rPr>
                <w:rFonts w:ascii="宋体" w:hAnsi="宋体"/>
                <w:color w:val="auto"/>
                <w:szCs w:val="21"/>
              </w:rPr>
            </w:pPr>
            <w:r>
              <w:rPr>
                <w:rFonts w:hint="eastAsia" w:ascii="宋体" w:hAnsi="宋体"/>
                <w:color w:val="auto"/>
                <w:szCs w:val="21"/>
              </w:rPr>
              <w:t>合计</w:t>
            </w:r>
          </w:p>
        </w:tc>
        <w:tc>
          <w:tcPr>
            <w:tcW w:w="809" w:type="dxa"/>
            <w:vAlign w:val="center"/>
          </w:tcPr>
          <w:p>
            <w:pPr>
              <w:spacing w:line="360" w:lineRule="auto"/>
              <w:jc w:val="center"/>
              <w:rPr>
                <w:rFonts w:hint="eastAsia" w:ascii="宋体" w:hAnsi="宋体" w:eastAsia="宋体"/>
                <w:color w:val="auto"/>
                <w:lang w:eastAsia="zh-CN"/>
              </w:rPr>
            </w:pPr>
            <w:r>
              <w:rPr>
                <w:rFonts w:hint="eastAsia" w:ascii="Times New Roman" w:hAnsi="Times New Roman" w:eastAsia="宋体" w:cs="Times New Roman"/>
                <w:color w:val="auto"/>
                <w:lang w:val="en-US" w:eastAsia="zh-CN"/>
              </w:rPr>
              <w:t>100</w:t>
            </w:r>
            <w:r>
              <w:rPr>
                <w:rFonts w:hint="eastAsia" w:ascii="宋体" w:hAnsi="宋体"/>
                <w:color w:val="auto"/>
                <w:lang w:eastAsia="zh-CN"/>
              </w:rPr>
              <w:t>分</w:t>
            </w:r>
          </w:p>
        </w:tc>
      </w:tr>
      <w:bookmarkEnd w:id="0"/>
    </w:tbl>
    <w:p>
      <w:pPr>
        <w:spacing w:line="360" w:lineRule="auto"/>
        <w:ind w:firstLine="420" w:firstLineChars="200"/>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00000000"/>
    <w:rsid w:val="00280D3D"/>
    <w:rsid w:val="004F7D60"/>
    <w:rsid w:val="005A2D64"/>
    <w:rsid w:val="00726F79"/>
    <w:rsid w:val="00E46AD2"/>
    <w:rsid w:val="00EB1C0E"/>
    <w:rsid w:val="0116312F"/>
    <w:rsid w:val="022632F0"/>
    <w:rsid w:val="03267819"/>
    <w:rsid w:val="045D1075"/>
    <w:rsid w:val="05BD6377"/>
    <w:rsid w:val="06E72E78"/>
    <w:rsid w:val="077B0190"/>
    <w:rsid w:val="07AB423D"/>
    <w:rsid w:val="07F53FC7"/>
    <w:rsid w:val="085C484A"/>
    <w:rsid w:val="08CD207F"/>
    <w:rsid w:val="09570229"/>
    <w:rsid w:val="09CF031F"/>
    <w:rsid w:val="0A3E104C"/>
    <w:rsid w:val="0A621193"/>
    <w:rsid w:val="0AA35A8D"/>
    <w:rsid w:val="0AC27E84"/>
    <w:rsid w:val="0ADF6709"/>
    <w:rsid w:val="0B031FF8"/>
    <w:rsid w:val="0B330D82"/>
    <w:rsid w:val="0B5252E0"/>
    <w:rsid w:val="0B5915B2"/>
    <w:rsid w:val="0BF63EFD"/>
    <w:rsid w:val="0C344DB1"/>
    <w:rsid w:val="0C871385"/>
    <w:rsid w:val="0D7C5016"/>
    <w:rsid w:val="0E3A4E39"/>
    <w:rsid w:val="0E5651F6"/>
    <w:rsid w:val="0E9B1118"/>
    <w:rsid w:val="0F0C1504"/>
    <w:rsid w:val="0FB36144"/>
    <w:rsid w:val="10001543"/>
    <w:rsid w:val="100B407B"/>
    <w:rsid w:val="113F222E"/>
    <w:rsid w:val="11CC5193"/>
    <w:rsid w:val="120450DA"/>
    <w:rsid w:val="12055A41"/>
    <w:rsid w:val="12C9238F"/>
    <w:rsid w:val="13157E18"/>
    <w:rsid w:val="135E0B3D"/>
    <w:rsid w:val="138A175B"/>
    <w:rsid w:val="14121DAC"/>
    <w:rsid w:val="142E20E6"/>
    <w:rsid w:val="14E0407A"/>
    <w:rsid w:val="15396F94"/>
    <w:rsid w:val="16012AC5"/>
    <w:rsid w:val="16AA0397"/>
    <w:rsid w:val="16B167CC"/>
    <w:rsid w:val="170610F8"/>
    <w:rsid w:val="17070B85"/>
    <w:rsid w:val="172211AC"/>
    <w:rsid w:val="18664ECD"/>
    <w:rsid w:val="198164B4"/>
    <w:rsid w:val="1A710F7F"/>
    <w:rsid w:val="1CA90EA4"/>
    <w:rsid w:val="1CB17D58"/>
    <w:rsid w:val="1CEB5018"/>
    <w:rsid w:val="1D090252"/>
    <w:rsid w:val="1D4F1A4B"/>
    <w:rsid w:val="2000702C"/>
    <w:rsid w:val="20531559"/>
    <w:rsid w:val="20E47C7B"/>
    <w:rsid w:val="21251678"/>
    <w:rsid w:val="21507B40"/>
    <w:rsid w:val="21636166"/>
    <w:rsid w:val="2182320C"/>
    <w:rsid w:val="21B73ED8"/>
    <w:rsid w:val="22291947"/>
    <w:rsid w:val="22596E88"/>
    <w:rsid w:val="22F524FB"/>
    <w:rsid w:val="230B0532"/>
    <w:rsid w:val="23234A89"/>
    <w:rsid w:val="23955CDE"/>
    <w:rsid w:val="23E83B9F"/>
    <w:rsid w:val="24406F1A"/>
    <w:rsid w:val="24791DF7"/>
    <w:rsid w:val="25A11649"/>
    <w:rsid w:val="25A8494F"/>
    <w:rsid w:val="25CD5C03"/>
    <w:rsid w:val="27B91B08"/>
    <w:rsid w:val="27EA6359"/>
    <w:rsid w:val="29CC4423"/>
    <w:rsid w:val="29D67FA4"/>
    <w:rsid w:val="2A2B739C"/>
    <w:rsid w:val="2A432D46"/>
    <w:rsid w:val="2A7169DD"/>
    <w:rsid w:val="2A9F7BB6"/>
    <w:rsid w:val="2ACD0453"/>
    <w:rsid w:val="2AEF13BE"/>
    <w:rsid w:val="2D0F545C"/>
    <w:rsid w:val="2D216834"/>
    <w:rsid w:val="2DB84096"/>
    <w:rsid w:val="2E3B05C3"/>
    <w:rsid w:val="2EAB0AAB"/>
    <w:rsid w:val="2F1E2C53"/>
    <w:rsid w:val="300915AF"/>
    <w:rsid w:val="304C1E1A"/>
    <w:rsid w:val="30D140CD"/>
    <w:rsid w:val="30ED5A30"/>
    <w:rsid w:val="31BC4D7D"/>
    <w:rsid w:val="32B85545"/>
    <w:rsid w:val="32FC4A8D"/>
    <w:rsid w:val="32FC6616"/>
    <w:rsid w:val="330557AD"/>
    <w:rsid w:val="33A672FD"/>
    <w:rsid w:val="34403A44"/>
    <w:rsid w:val="346534DC"/>
    <w:rsid w:val="347E456C"/>
    <w:rsid w:val="352761F5"/>
    <w:rsid w:val="35EA1EB9"/>
    <w:rsid w:val="364D069A"/>
    <w:rsid w:val="36CD5A73"/>
    <w:rsid w:val="37AD6244"/>
    <w:rsid w:val="37C568B0"/>
    <w:rsid w:val="380A3FE7"/>
    <w:rsid w:val="381454F7"/>
    <w:rsid w:val="38370059"/>
    <w:rsid w:val="391159AF"/>
    <w:rsid w:val="3A1A6AE5"/>
    <w:rsid w:val="3A2636DC"/>
    <w:rsid w:val="3ABB3E24"/>
    <w:rsid w:val="3BC136BC"/>
    <w:rsid w:val="3BDE4E43"/>
    <w:rsid w:val="3C2E0CC5"/>
    <w:rsid w:val="3CE33BBF"/>
    <w:rsid w:val="3DB2047D"/>
    <w:rsid w:val="3E141CB2"/>
    <w:rsid w:val="3E570EC6"/>
    <w:rsid w:val="3F283A52"/>
    <w:rsid w:val="3F6D1374"/>
    <w:rsid w:val="4024246B"/>
    <w:rsid w:val="40607ABC"/>
    <w:rsid w:val="40640ABA"/>
    <w:rsid w:val="413A60AB"/>
    <w:rsid w:val="43C8770C"/>
    <w:rsid w:val="45AC718B"/>
    <w:rsid w:val="45ED50AE"/>
    <w:rsid w:val="45F95539"/>
    <w:rsid w:val="466A5024"/>
    <w:rsid w:val="469E110E"/>
    <w:rsid w:val="479C6D8B"/>
    <w:rsid w:val="47B64D38"/>
    <w:rsid w:val="48364026"/>
    <w:rsid w:val="488241D3"/>
    <w:rsid w:val="49D62A28"/>
    <w:rsid w:val="4A9C1907"/>
    <w:rsid w:val="4AF97CB6"/>
    <w:rsid w:val="4B6C4CC7"/>
    <w:rsid w:val="4BCB40E3"/>
    <w:rsid w:val="4BE5617B"/>
    <w:rsid w:val="4C072C30"/>
    <w:rsid w:val="4CA330E7"/>
    <w:rsid w:val="4CB07713"/>
    <w:rsid w:val="4CCD0706"/>
    <w:rsid w:val="4CF5766A"/>
    <w:rsid w:val="4CF87DD7"/>
    <w:rsid w:val="4DE84AD8"/>
    <w:rsid w:val="4E70527E"/>
    <w:rsid w:val="4E9B4F76"/>
    <w:rsid w:val="4EA10947"/>
    <w:rsid w:val="4F700B2E"/>
    <w:rsid w:val="51120D76"/>
    <w:rsid w:val="51D10F25"/>
    <w:rsid w:val="528E29ED"/>
    <w:rsid w:val="52901F11"/>
    <w:rsid w:val="529B480F"/>
    <w:rsid w:val="52F83F51"/>
    <w:rsid w:val="530C74BB"/>
    <w:rsid w:val="53121B8E"/>
    <w:rsid w:val="53C47D96"/>
    <w:rsid w:val="54B6171E"/>
    <w:rsid w:val="55706356"/>
    <w:rsid w:val="55D30AF4"/>
    <w:rsid w:val="565F4ABA"/>
    <w:rsid w:val="568961D0"/>
    <w:rsid w:val="5733709E"/>
    <w:rsid w:val="574A05B2"/>
    <w:rsid w:val="574A1CB5"/>
    <w:rsid w:val="579059CE"/>
    <w:rsid w:val="57C55E8A"/>
    <w:rsid w:val="57F66416"/>
    <w:rsid w:val="58937570"/>
    <w:rsid w:val="58DF2F7C"/>
    <w:rsid w:val="59E167D6"/>
    <w:rsid w:val="5A183E5F"/>
    <w:rsid w:val="5AF8598C"/>
    <w:rsid w:val="5B1213E7"/>
    <w:rsid w:val="5B231A45"/>
    <w:rsid w:val="5BB3149D"/>
    <w:rsid w:val="5C594DF3"/>
    <w:rsid w:val="5C6202FE"/>
    <w:rsid w:val="5D0766E2"/>
    <w:rsid w:val="5D5B20F3"/>
    <w:rsid w:val="5D5F7676"/>
    <w:rsid w:val="5DAB3A7E"/>
    <w:rsid w:val="5DC46F3E"/>
    <w:rsid w:val="5E525F9E"/>
    <w:rsid w:val="5E58282F"/>
    <w:rsid w:val="5E9216C5"/>
    <w:rsid w:val="5EB555E4"/>
    <w:rsid w:val="5EC23ABB"/>
    <w:rsid w:val="5ECC67C9"/>
    <w:rsid w:val="5F075202"/>
    <w:rsid w:val="5F571ABE"/>
    <w:rsid w:val="5FA31F5D"/>
    <w:rsid w:val="5FF852C4"/>
    <w:rsid w:val="608D6F8C"/>
    <w:rsid w:val="60A54AAB"/>
    <w:rsid w:val="60B06A3A"/>
    <w:rsid w:val="60C8402D"/>
    <w:rsid w:val="62031A89"/>
    <w:rsid w:val="62061579"/>
    <w:rsid w:val="621C6FEF"/>
    <w:rsid w:val="62E775FD"/>
    <w:rsid w:val="62EA49F7"/>
    <w:rsid w:val="633B400F"/>
    <w:rsid w:val="63634DBE"/>
    <w:rsid w:val="645962D8"/>
    <w:rsid w:val="64942E0C"/>
    <w:rsid w:val="65683BA3"/>
    <w:rsid w:val="65D900EA"/>
    <w:rsid w:val="66A90E26"/>
    <w:rsid w:val="68332C5A"/>
    <w:rsid w:val="690B6A33"/>
    <w:rsid w:val="6ADF1456"/>
    <w:rsid w:val="6B0F149F"/>
    <w:rsid w:val="6B1D49E9"/>
    <w:rsid w:val="6C663340"/>
    <w:rsid w:val="6CCA5F8C"/>
    <w:rsid w:val="6D5D0BE7"/>
    <w:rsid w:val="6D61071B"/>
    <w:rsid w:val="6D9863E0"/>
    <w:rsid w:val="6E42305D"/>
    <w:rsid w:val="6F027EDE"/>
    <w:rsid w:val="6F286276"/>
    <w:rsid w:val="6F413BF1"/>
    <w:rsid w:val="6F433E0D"/>
    <w:rsid w:val="6F490CF7"/>
    <w:rsid w:val="6F491DD6"/>
    <w:rsid w:val="6FC54822"/>
    <w:rsid w:val="6FD21F6F"/>
    <w:rsid w:val="70301438"/>
    <w:rsid w:val="70CC398E"/>
    <w:rsid w:val="70EF3AEB"/>
    <w:rsid w:val="71266A01"/>
    <w:rsid w:val="716D2988"/>
    <w:rsid w:val="72801080"/>
    <w:rsid w:val="72A262B6"/>
    <w:rsid w:val="72C74D55"/>
    <w:rsid w:val="72CD743C"/>
    <w:rsid w:val="735A02FF"/>
    <w:rsid w:val="73644F94"/>
    <w:rsid w:val="739E1612"/>
    <w:rsid w:val="74F160B9"/>
    <w:rsid w:val="76790114"/>
    <w:rsid w:val="767A253F"/>
    <w:rsid w:val="76E23F0B"/>
    <w:rsid w:val="77D2097C"/>
    <w:rsid w:val="78281DF2"/>
    <w:rsid w:val="785C061A"/>
    <w:rsid w:val="78743289"/>
    <w:rsid w:val="7932248D"/>
    <w:rsid w:val="79366790"/>
    <w:rsid w:val="79E077E8"/>
    <w:rsid w:val="7A416DDF"/>
    <w:rsid w:val="7A6D7F90"/>
    <w:rsid w:val="7A97325F"/>
    <w:rsid w:val="7BBC35D3"/>
    <w:rsid w:val="7C023E77"/>
    <w:rsid w:val="7C232FFC"/>
    <w:rsid w:val="7C8415C1"/>
    <w:rsid w:val="7DDD71DA"/>
    <w:rsid w:val="7E114FDF"/>
    <w:rsid w:val="7E171E3C"/>
    <w:rsid w:val="7E3E26F6"/>
    <w:rsid w:val="7F51685D"/>
    <w:rsid w:val="7F8C2C66"/>
    <w:rsid w:val="7F945FBF"/>
    <w:rsid w:val="7FAE00C1"/>
    <w:rsid w:val="FAEF04CC"/>
    <w:rsid w:val="FED6FE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line="460" w:lineRule="exact"/>
    </w:pPr>
    <w:rPr>
      <w:rFonts w:ascii="宋体" w:hAnsi="宋体" w:eastAsia="宋体"/>
      <w:sz w:val="21"/>
    </w:rPr>
  </w:style>
  <w:style w:type="paragraph" w:styleId="3">
    <w:name w:val="Normal Indent"/>
    <w:basedOn w:val="1"/>
    <w:qFormat/>
    <w:uiPriority w:val="0"/>
    <w:pPr>
      <w:widowControl w:val="0"/>
      <w:ind w:firstLine="420"/>
      <w:jc w:val="both"/>
    </w:pPr>
    <w:rPr>
      <w:kern w:val="2"/>
    </w:rPr>
  </w:style>
  <w:style w:type="paragraph" w:styleId="4">
    <w:name w:val="toc 5"/>
    <w:basedOn w:val="1"/>
    <w:next w:val="1"/>
    <w:qFormat/>
    <w:uiPriority w:val="0"/>
    <w:pPr>
      <w:ind w:left="840"/>
      <w:jc w:val="left"/>
    </w:pPr>
    <w:rPr>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customStyle="1" w:styleId="8">
    <w:name w:val="表格文字"/>
    <w:basedOn w:val="1"/>
    <w:qFormat/>
    <w:uiPriority w:val="0"/>
    <w:pPr>
      <w:spacing w:before="25" w:beforeLines="0" w:after="25" w:afterLines="0" w:line="240" w:lineRule="auto"/>
      <w:ind w:firstLine="0"/>
      <w:jc w:val="left"/>
    </w:pPr>
    <w:rPr>
      <w:bCs/>
      <w:spacing w:val="10"/>
      <w:kern w:val="0"/>
      <w:sz w:val="24"/>
    </w:rPr>
  </w:style>
  <w:style w:type="paragraph" w:customStyle="1" w:styleId="9">
    <w:name w:val="正文缩进2格"/>
    <w:basedOn w:val="1"/>
    <w:qFormat/>
    <w:uiPriority w:val="0"/>
    <w:pPr>
      <w:widowControl w:val="0"/>
      <w:spacing w:line="600" w:lineRule="exact"/>
      <w:ind w:firstLine="639" w:firstLineChars="206"/>
      <w:jc w:val="both"/>
    </w:pPr>
    <w:rPr>
      <w:rFonts w:ascii="仿宋_GB2312" w:hAnsi="宋体" w:eastAsia="仿宋_GB2312"/>
      <w:kern w:val="2"/>
      <w:sz w:val="3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1588</Words>
  <Characters>1617</Characters>
  <Lines>0</Lines>
  <Paragraphs>0</Paragraphs>
  <TotalTime>0</TotalTime>
  <ScaleCrop>false</ScaleCrop>
  <LinksUpToDate>false</LinksUpToDate>
  <CharactersWithSpaces>1630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2024-07-27T00:44:00Z</dcterms:created>
  <dc:creator>Administrator</dc:creator>
  <cp:lastModifiedBy>SK</cp:lastModifiedBy>
  <dcterms:modified xsi:type="dcterms:W3CDTF">2024-11-28T09:14:00Z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353EA2FCA5D2497EAD5EC7EC6834B329_13</vt:lpwstr>
  </property>
</Properties>
</file>