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F5FE0">
      <w:pPr>
        <w:pStyle w:val="2"/>
        <w:jc w:val="both"/>
        <w:rPr>
          <w:color w:val="000000"/>
        </w:rPr>
      </w:pPr>
      <w:r>
        <w:rPr>
          <w:rFonts w:hint="eastAsia"/>
          <w:color w:val="000000"/>
        </w:rPr>
        <w:t>附件</w:t>
      </w:r>
      <w:r>
        <w:rPr>
          <w:rFonts w:hint="eastAsia"/>
          <w:color w:val="000000"/>
          <w:lang w:val="en-US" w:eastAsia="zh-CN"/>
        </w:rPr>
        <w:t>4</w:t>
      </w:r>
      <w:r>
        <w:rPr>
          <w:rFonts w:hint="eastAsia"/>
          <w:color w:val="000000"/>
        </w:rPr>
        <w:t>：</w:t>
      </w:r>
    </w:p>
    <w:p w14:paraId="2710AFFE">
      <w:pPr>
        <w:spacing w:line="360" w:lineRule="auto"/>
        <w:ind w:firstLine="602" w:firstLineChars="200"/>
        <w:jc w:val="center"/>
        <w:rPr>
          <w:rFonts w:hint="eastAsia" w:ascii="宋体" w:hAnsi="宋体" w:cs="宋体"/>
          <w:b/>
          <w:bCs/>
          <w:sz w:val="30"/>
          <w:szCs w:val="30"/>
          <w:lang w:eastAsia="zh-CN"/>
        </w:rPr>
      </w:pPr>
      <w:r>
        <w:rPr>
          <w:rFonts w:hint="eastAsia" w:ascii="宋体" w:hAnsi="宋体" w:cs="宋体"/>
          <w:b/>
          <w:bCs/>
          <w:sz w:val="30"/>
          <w:szCs w:val="30"/>
          <w:lang w:val="en-US" w:eastAsia="zh-CN"/>
        </w:rPr>
        <w:t>评审方案</w:t>
      </w:r>
    </w:p>
    <w:p w14:paraId="3B4F2A85">
      <w:pPr>
        <w:spacing w:line="360" w:lineRule="auto"/>
        <w:ind w:firstLine="422" w:firstLineChars="200"/>
        <w:rPr>
          <w:rFonts w:hint="eastAsia" w:ascii="宋体" w:hAnsi="宋体"/>
          <w:b w:val="0"/>
          <w:bCs w:val="0"/>
          <w:szCs w:val="21"/>
          <w:highlight w:val="none"/>
          <w:lang w:val="en-US" w:eastAsia="zh-CN"/>
        </w:rPr>
      </w:pPr>
      <w:r>
        <w:rPr>
          <w:rFonts w:hint="eastAsia" w:ascii="宋体" w:hAnsi="宋体"/>
          <w:b/>
          <w:bCs/>
          <w:szCs w:val="21"/>
          <w:highlight w:val="none"/>
          <w:lang w:val="en-US" w:eastAsia="zh-CN"/>
        </w:rPr>
        <w:t>1、评审步骤：</w:t>
      </w:r>
      <w:r>
        <w:rPr>
          <w:rFonts w:hint="eastAsia" w:ascii="宋体" w:hAnsi="宋体"/>
          <w:b w:val="0"/>
          <w:bCs w:val="0"/>
          <w:szCs w:val="21"/>
          <w:highlight w:val="none"/>
          <w:lang w:val="en-US" w:eastAsia="zh-CN"/>
        </w:rPr>
        <w:t>评审小组对响应文件的评审分为初审（资格性和符合性审查，详见响应文件模版参考内容）和详细评审，初审通过才进入详细评审环节。</w:t>
      </w:r>
    </w:p>
    <w:p w14:paraId="0A0E0CBC">
      <w:pPr>
        <w:spacing w:line="360" w:lineRule="auto"/>
        <w:ind w:firstLine="420" w:firstLineChars="20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2、详细评审时，根据评分表的内容，评审小组各成员应当独立对每个有效响应的文件进行评价、打分，从商务技术和价格方面进行综合评审。各成员评分的算术平均值即为该供应商的商务技术得分。得分按四舍五入规则，精确到小数点后2位。</w:t>
      </w:r>
    </w:p>
    <w:p w14:paraId="70DD3B52">
      <w:pPr>
        <w:spacing w:line="360" w:lineRule="auto"/>
        <w:ind w:firstLine="422" w:firstLineChars="200"/>
        <w:rPr>
          <w:rFonts w:hint="eastAsia" w:ascii="宋体" w:hAnsi="宋体"/>
          <w:b w:val="0"/>
          <w:bCs w:val="0"/>
          <w:szCs w:val="21"/>
          <w:highlight w:val="none"/>
          <w:lang w:val="en-US" w:eastAsia="zh-CN"/>
        </w:rPr>
      </w:pPr>
      <w:r>
        <w:rPr>
          <w:rFonts w:hint="eastAsia" w:ascii="宋体" w:hAnsi="宋体"/>
          <w:b/>
          <w:bCs/>
          <w:szCs w:val="21"/>
          <w:highlight w:val="none"/>
          <w:lang w:val="en-US" w:eastAsia="zh-CN"/>
        </w:rPr>
        <w:t>3、评审总得分＝商务技术得分+响应报价得分</w:t>
      </w:r>
      <w:r>
        <w:rPr>
          <w:rFonts w:hint="eastAsia" w:ascii="宋体" w:hAnsi="宋体"/>
          <w:b w:val="0"/>
          <w:bCs w:val="0"/>
          <w:szCs w:val="21"/>
          <w:highlight w:val="none"/>
          <w:lang w:val="en-US" w:eastAsia="zh-CN"/>
        </w:rPr>
        <w:t>　　</w:t>
      </w:r>
    </w:p>
    <w:p w14:paraId="554C9252">
      <w:pPr>
        <w:spacing w:line="360" w:lineRule="auto"/>
        <w:ind w:firstLine="420" w:firstLineChars="20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4、评审小组按评审得分由高到低进行排序，排名第一的推荐为拟成交供应商，排名第二的供应商为第二成交候选人，排名第三的供应商为第三成交候选人,依此类推。出现综合总得分并列时，报价总价低的供应商名次靠前；若综合得分和报价总价都相同，按技术得分高的供应商名次靠前；若综合得分、报价总价和技术得分都相同，由全体评委投票确定名次。</w:t>
      </w:r>
    </w:p>
    <w:p w14:paraId="0FCCA592">
      <w:pPr>
        <w:spacing w:line="360" w:lineRule="auto"/>
        <w:ind w:firstLine="422" w:firstLineChars="200"/>
        <w:rPr>
          <w:rFonts w:hint="eastAsia" w:ascii="宋体" w:hAnsi="宋体"/>
          <w:b/>
          <w:bCs/>
          <w:szCs w:val="21"/>
          <w:highlight w:val="none"/>
          <w:lang w:val="en-US" w:eastAsia="zh-CN"/>
        </w:rPr>
      </w:pPr>
      <w:r>
        <w:rPr>
          <w:rFonts w:hint="eastAsia" w:ascii="宋体" w:hAnsi="宋体"/>
          <w:b/>
          <w:bCs/>
          <w:szCs w:val="21"/>
          <w:highlight w:val="none"/>
          <w:lang w:val="en-US" w:eastAsia="zh-CN"/>
        </w:rPr>
        <w:t>5、响应文件的澄清</w:t>
      </w:r>
    </w:p>
    <w:p w14:paraId="501AE245">
      <w:pPr>
        <w:spacing w:line="360" w:lineRule="auto"/>
        <w:ind w:firstLine="420" w:firstLineChars="20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评审期间，对响应文件中含义不明确、同类问题表述不一致或者有明显文字和计算错误的内容，评审小组可以书面形式（应当由评审小组专家签字）要求供应商作出必要的澄清、说明或者纠正，但不得允许供应商对响应报价等实质性内容做任何更改。供应商的澄清、说明或者纠正应当采用书面形式，由其授权的代表签字，并不得超出响应文件的范围或者改变响应文件的实质性内容。有关澄清的答复均应由供应商的法定代表人或授权代表签名的书面形式作出。供应商的澄清文件是其响应文件的组成部分。</w:t>
      </w:r>
    </w:p>
    <w:p w14:paraId="1DE55AE2">
      <w:pPr>
        <w:numPr>
          <w:ilvl w:val="0"/>
          <w:numId w:val="0"/>
        </w:numPr>
        <w:spacing w:line="360" w:lineRule="auto"/>
        <w:ind w:firstLine="420" w:firstLineChars="200"/>
        <w:rPr>
          <w:rFonts w:hint="eastAsia" w:ascii="宋体" w:hAnsi="宋体"/>
          <w:b w:val="0"/>
          <w:bCs w:val="0"/>
          <w:szCs w:val="21"/>
          <w:highlight w:val="none"/>
          <w:lang w:val="en-US" w:eastAsia="zh-CN"/>
        </w:rPr>
      </w:pPr>
      <w:r>
        <w:rPr>
          <w:rFonts w:hint="eastAsia" w:ascii="宋体" w:hAnsi="宋体" w:eastAsia="宋体" w:cs="Times New Roman"/>
          <w:b w:val="0"/>
          <w:bCs w:val="0"/>
          <w:kern w:val="2"/>
          <w:sz w:val="21"/>
          <w:szCs w:val="21"/>
          <w:lang w:val="en-US" w:eastAsia="zh-CN" w:bidi="ar-SA"/>
        </w:rPr>
        <w:t>6、</w:t>
      </w:r>
      <w:r>
        <w:rPr>
          <w:rFonts w:hint="eastAsia" w:ascii="宋体" w:hAnsi="宋体"/>
          <w:b w:val="0"/>
          <w:bCs w:val="0"/>
          <w:szCs w:val="21"/>
          <w:highlight w:val="none"/>
          <w:lang w:val="en-US" w:eastAsia="zh-CN"/>
        </w:rPr>
        <w:t>成交供应商未向采购人来书面函退出或违反采购文件规定的，则采购人视为该成交供应商放弃成交资格。采购人可以按照评审报告的成交候选人名单顺序，确定下一候选人为成交供应商，也可以重新开展采购活动。</w:t>
      </w:r>
    </w:p>
    <w:p w14:paraId="59019F1F">
      <w:pPr>
        <w:spacing w:line="360" w:lineRule="auto"/>
        <w:ind w:firstLine="420" w:firstLineChars="200"/>
        <w:rPr>
          <w:rFonts w:hint="eastAsia" w:ascii="宋体" w:hAnsi="宋体" w:eastAsia="宋体" w:cs="宋体"/>
          <w:szCs w:val="21"/>
        </w:rPr>
      </w:pPr>
    </w:p>
    <w:p w14:paraId="392C8AE8">
      <w:pPr>
        <w:pStyle w:val="4"/>
        <w:ind w:left="0"/>
        <w:jc w:val="center"/>
        <w:rPr>
          <w:rFonts w:hint="default"/>
          <w:sz w:val="28"/>
          <w:szCs w:val="28"/>
          <w:lang w:val="en-US" w:eastAsia="zh-CN"/>
        </w:rPr>
      </w:pPr>
      <w:r>
        <w:rPr>
          <w:rFonts w:hint="eastAsia" w:ascii="宋体" w:hAnsi="宋体" w:cs="宋体"/>
          <w:b/>
          <w:bCs/>
          <w:sz w:val="28"/>
          <w:szCs w:val="28"/>
          <w:lang w:val="en-US" w:eastAsia="zh-CN"/>
        </w:rPr>
        <w:t>附表：</w:t>
      </w:r>
      <w:r>
        <w:rPr>
          <w:rFonts w:hint="eastAsia" w:ascii="宋体" w:hAnsi="宋体" w:cs="宋体"/>
          <w:b/>
          <w:bCs/>
          <w:sz w:val="28"/>
          <w:szCs w:val="28"/>
          <w:lang w:eastAsia="zh-CN"/>
        </w:rPr>
        <w:t>中山市黄圃人民医院纤支镜采购项目</w:t>
      </w:r>
      <w:r>
        <w:rPr>
          <w:rFonts w:hint="eastAsia" w:ascii="宋体" w:hAnsi="宋体" w:eastAsia="宋体" w:cs="宋体"/>
          <w:b/>
          <w:bCs/>
          <w:sz w:val="28"/>
          <w:szCs w:val="28"/>
        </w:rPr>
        <w:t>评分表</w:t>
      </w:r>
    </w:p>
    <w:tbl>
      <w:tblPr>
        <w:tblStyle w:val="6"/>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591"/>
        <w:gridCol w:w="5939"/>
        <w:gridCol w:w="809"/>
      </w:tblGrid>
      <w:tr w14:paraId="1949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916" w:type="dxa"/>
            <w:noWrap w:val="0"/>
            <w:vAlign w:val="center"/>
          </w:tcPr>
          <w:p w14:paraId="3AED712C">
            <w:pPr>
              <w:pStyle w:val="5"/>
              <w:tabs>
                <w:tab w:val="clear" w:pos="4153"/>
                <w:tab w:val="clear" w:pos="8306"/>
              </w:tabs>
              <w:snapToGrid/>
              <w:spacing w:line="360" w:lineRule="auto"/>
              <w:jc w:val="center"/>
              <w:rPr>
                <w:rFonts w:hint="eastAsia" w:ascii="宋体" w:hAnsi="宋体" w:eastAsia="宋体" w:cs="宋体"/>
                <w:b/>
                <w:bCs/>
                <w:color w:val="auto"/>
                <w:sz w:val="21"/>
                <w:szCs w:val="21"/>
                <w:lang w:eastAsia="zh-CN"/>
              </w:rPr>
            </w:pPr>
            <w:bookmarkStart w:id="0" w:name="OLE_LINK2"/>
            <w:r>
              <w:rPr>
                <w:rFonts w:hint="eastAsia" w:ascii="宋体" w:hAnsi="宋体" w:cs="宋体"/>
                <w:b/>
                <w:bCs/>
                <w:color w:val="auto"/>
                <w:sz w:val="21"/>
                <w:szCs w:val="21"/>
                <w:lang w:eastAsia="zh-CN"/>
              </w:rPr>
              <w:t>项目</w:t>
            </w:r>
          </w:p>
        </w:tc>
        <w:tc>
          <w:tcPr>
            <w:tcW w:w="1591" w:type="dxa"/>
            <w:noWrap w:val="0"/>
            <w:vAlign w:val="center"/>
          </w:tcPr>
          <w:p w14:paraId="2F7322C9">
            <w:pPr>
              <w:pStyle w:val="5"/>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评审因素</w:t>
            </w:r>
          </w:p>
        </w:tc>
        <w:tc>
          <w:tcPr>
            <w:tcW w:w="5939" w:type="dxa"/>
            <w:noWrap w:val="0"/>
            <w:vAlign w:val="center"/>
          </w:tcPr>
          <w:p w14:paraId="6C87C9A1">
            <w:pPr>
              <w:pStyle w:val="5"/>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评分细则</w:t>
            </w:r>
          </w:p>
        </w:tc>
        <w:tc>
          <w:tcPr>
            <w:tcW w:w="809" w:type="dxa"/>
            <w:noWrap w:val="0"/>
            <w:vAlign w:val="center"/>
          </w:tcPr>
          <w:p w14:paraId="0730F95C">
            <w:pPr>
              <w:pStyle w:val="5"/>
              <w:tabs>
                <w:tab w:val="clear" w:pos="4153"/>
                <w:tab w:val="clear" w:pos="8306"/>
              </w:tabs>
              <w:snapToGrid/>
              <w:spacing w:line="360" w:lineRule="auto"/>
              <w:jc w:val="center"/>
              <w:rPr>
                <w:rFonts w:ascii="宋体" w:hAnsi="宋体" w:cs="宋体"/>
                <w:b/>
                <w:bCs/>
                <w:color w:val="auto"/>
                <w:sz w:val="21"/>
                <w:szCs w:val="21"/>
              </w:rPr>
            </w:pPr>
            <w:r>
              <w:rPr>
                <w:rFonts w:hint="eastAsia" w:ascii="宋体" w:hAnsi="宋体" w:cs="宋体"/>
                <w:b/>
                <w:bCs/>
                <w:color w:val="auto"/>
                <w:sz w:val="21"/>
                <w:szCs w:val="21"/>
              </w:rPr>
              <w:t>分值</w:t>
            </w:r>
          </w:p>
        </w:tc>
      </w:tr>
      <w:tr w14:paraId="3BF1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vMerge w:val="restart"/>
            <w:noWrap w:val="0"/>
            <w:vAlign w:val="center"/>
          </w:tcPr>
          <w:p w14:paraId="373B5F84">
            <w:pPr>
              <w:widowControl/>
              <w:spacing w:line="360" w:lineRule="auto"/>
              <w:jc w:val="center"/>
              <w:rPr>
                <w:rFonts w:hint="default" w:ascii="宋体" w:hAnsi="宋体" w:eastAsia="宋体" w:cs="宋体"/>
                <w:color w:val="auto"/>
                <w:spacing w:val="15"/>
                <w:kern w:val="0"/>
                <w:szCs w:val="21"/>
                <w:shd w:val="clear" w:color="auto" w:fill="FFFFFF"/>
                <w:lang w:val="en-US" w:eastAsia="zh-CN"/>
              </w:rPr>
            </w:pPr>
            <w:r>
              <w:rPr>
                <w:rFonts w:hint="eastAsia" w:ascii="宋体" w:hAnsi="宋体" w:eastAsia="宋体" w:cs="宋体"/>
                <w:color w:val="auto"/>
                <w:spacing w:val="15"/>
                <w:kern w:val="0"/>
                <w:szCs w:val="21"/>
                <w:shd w:val="clear" w:color="auto" w:fill="FFFFFF"/>
                <w:lang w:val="en-US" w:eastAsia="zh-CN"/>
              </w:rPr>
              <w:t>商务技术部分</w:t>
            </w:r>
          </w:p>
        </w:tc>
        <w:tc>
          <w:tcPr>
            <w:tcW w:w="1591" w:type="dxa"/>
            <w:noWrap w:val="0"/>
            <w:vAlign w:val="center"/>
          </w:tcPr>
          <w:p w14:paraId="3836AB3A">
            <w:pPr>
              <w:tabs>
                <w:tab w:val="decimal" w:pos="315"/>
                <w:tab w:val="left" w:pos="630"/>
              </w:tabs>
              <w:spacing w:line="276" w:lineRule="auto"/>
              <w:jc w:val="center"/>
              <w:rPr>
                <w:rFonts w:hint="eastAsia" w:ascii="宋体" w:hAnsi="宋体"/>
                <w:color w:val="auto"/>
                <w:szCs w:val="21"/>
                <w:highlight w:val="none"/>
              </w:rPr>
            </w:pPr>
            <w:r>
              <w:rPr>
                <w:rFonts w:hint="eastAsia"/>
                <w:color w:val="auto"/>
              </w:rPr>
              <w:t>重要条款响应程度</w:t>
            </w:r>
          </w:p>
        </w:tc>
        <w:tc>
          <w:tcPr>
            <w:tcW w:w="5939" w:type="dxa"/>
            <w:noWrap w:val="0"/>
            <w:vAlign w:val="center"/>
          </w:tcPr>
          <w:p w14:paraId="02520B55">
            <w:pPr>
              <w:tabs>
                <w:tab w:val="decimal" w:pos="315"/>
                <w:tab w:val="left" w:pos="630"/>
              </w:tabs>
              <w:spacing w:line="276" w:lineRule="auto"/>
              <w:rPr>
                <w:rFonts w:hint="eastAsia"/>
                <w:color w:val="auto"/>
                <w:lang w:val="zh-CN"/>
              </w:rPr>
            </w:pPr>
            <w:r>
              <w:rPr>
                <w:rFonts w:hint="eastAsia"/>
                <w:color w:val="auto"/>
                <w:lang w:val="zh-CN"/>
              </w:rPr>
              <w:t>所投产品技术参数全部满足用户需求书【具体技术(参数)要求】中带▲号的重要技术参数，得30分；每出现一处带▲号的重要技术参数负偏离，扣6分，最低得0分（本项目共5个带▲号的重要技术参数）。</w:t>
            </w:r>
          </w:p>
          <w:p w14:paraId="3894A98F">
            <w:pPr>
              <w:pStyle w:val="2"/>
              <w:keepNext w:val="0"/>
              <w:keepLines w:val="0"/>
              <w:pageBreakBefore w:val="0"/>
              <w:widowControl w:val="0"/>
              <w:kinsoku/>
              <w:wordWrap/>
              <w:overflowPunct/>
              <w:topLinePunct w:val="0"/>
              <w:autoSpaceDE/>
              <w:autoSpaceDN/>
              <w:bidi w:val="0"/>
              <w:adjustRightInd/>
              <w:snapToGrid/>
              <w:spacing w:line="267" w:lineRule="auto"/>
              <w:textAlignment w:val="auto"/>
              <w:rPr>
                <w:rFonts w:hint="eastAsia"/>
                <w:lang w:val="zh-CN"/>
              </w:rPr>
            </w:pPr>
            <w:r>
              <w:rPr>
                <w:rFonts w:hint="eastAsia" w:ascii="宋体" w:hAnsi="宋体" w:eastAsia="宋体" w:cs="宋体"/>
                <w:kern w:val="2"/>
                <w:sz w:val="21"/>
                <w:szCs w:val="21"/>
              </w:rPr>
              <w:t>注：</w:t>
            </w:r>
            <w:r>
              <w:rPr>
                <w:rFonts w:hint="eastAsia" w:ascii="宋体" w:hAnsi="宋体" w:eastAsia="宋体" w:cs="宋体"/>
                <w:kern w:val="2"/>
                <w:sz w:val="21"/>
                <w:szCs w:val="21"/>
                <w:lang w:val="en-US" w:eastAsia="zh-CN"/>
              </w:rPr>
              <w:t>响应</w:t>
            </w:r>
            <w:r>
              <w:rPr>
                <w:rFonts w:hint="eastAsia" w:ascii="宋体" w:hAnsi="宋体" w:eastAsia="宋体" w:cs="宋体"/>
                <w:kern w:val="2"/>
                <w:sz w:val="21"/>
                <w:szCs w:val="21"/>
              </w:rPr>
              <w:t>文件中提供技术指标相应的技术支持文件复印件并加盖</w:t>
            </w:r>
            <w:r>
              <w:rPr>
                <w:rFonts w:hint="eastAsia" w:ascii="宋体" w:hAnsi="宋体" w:eastAsia="宋体" w:cs="宋体"/>
                <w:kern w:val="2"/>
                <w:sz w:val="21"/>
                <w:szCs w:val="21"/>
                <w:lang w:val="en-US" w:eastAsia="zh-CN"/>
              </w:rPr>
              <w:t>响应供应商</w:t>
            </w:r>
            <w:r>
              <w:rPr>
                <w:rFonts w:hint="eastAsia" w:ascii="宋体" w:hAnsi="宋体" w:eastAsia="宋体" w:cs="宋体"/>
                <w:kern w:val="2"/>
                <w:sz w:val="21"/>
                <w:szCs w:val="21"/>
              </w:rPr>
              <w:t>或生产厂家公章（技术支持文件不限于原厂彩页证明文件、技术白皮书、产品功能界面截图、检测报告等），如采购需求有具体要求，以具体要求为准。所提供的支持文件应包括所有参数，并有清晰的说明，提供的证明材料如果是英文的必须提供有资质的单位翻译成的中文材料，以翻译后的中文材料内容为准。如</w:t>
            </w:r>
            <w:r>
              <w:rPr>
                <w:rFonts w:hint="eastAsia" w:ascii="宋体" w:hAnsi="宋体" w:eastAsia="宋体" w:cs="宋体"/>
                <w:kern w:val="2"/>
                <w:sz w:val="21"/>
                <w:szCs w:val="21"/>
                <w:lang w:val="en-US" w:eastAsia="zh-CN"/>
              </w:rPr>
              <w:t>评审小组</w:t>
            </w:r>
            <w:r>
              <w:rPr>
                <w:rFonts w:hint="eastAsia" w:ascii="宋体" w:hAnsi="宋体" w:eastAsia="宋体" w:cs="宋体"/>
                <w:kern w:val="2"/>
                <w:sz w:val="21"/>
                <w:szCs w:val="21"/>
              </w:rPr>
              <w:t>无法从所提供资料中判断参数是否符合要求的，视为负偏离。未提供或未按要求提供相关证明材料的不得分。</w:t>
            </w:r>
          </w:p>
        </w:tc>
        <w:tc>
          <w:tcPr>
            <w:tcW w:w="809" w:type="dxa"/>
            <w:noWrap w:val="0"/>
            <w:vAlign w:val="center"/>
          </w:tcPr>
          <w:p w14:paraId="26EC8B94">
            <w:pPr>
              <w:tabs>
                <w:tab w:val="decimal" w:pos="315"/>
                <w:tab w:val="left" w:pos="630"/>
              </w:tabs>
              <w:spacing w:line="276" w:lineRule="auto"/>
              <w:jc w:val="center"/>
              <w:rPr>
                <w:rFonts w:hint="eastAsia" w:ascii="宋体" w:hAnsi="宋体"/>
                <w:color w:val="auto"/>
                <w:sz w:val="21"/>
                <w:szCs w:val="21"/>
                <w:highlight w:val="none"/>
                <w:lang w:val="en-US" w:eastAsia="zh-CN"/>
              </w:rPr>
            </w:pPr>
            <w:r>
              <w:rPr>
                <w:rFonts w:hint="eastAsia"/>
                <w:lang w:val="en-US" w:eastAsia="zh-CN"/>
              </w:rPr>
              <w:t>30分</w:t>
            </w:r>
          </w:p>
        </w:tc>
      </w:tr>
      <w:tr w14:paraId="1588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16" w:type="dxa"/>
            <w:vMerge w:val="continue"/>
            <w:noWrap w:val="0"/>
            <w:vAlign w:val="center"/>
          </w:tcPr>
          <w:p w14:paraId="44B1EBD9">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591" w:type="dxa"/>
            <w:noWrap w:val="0"/>
            <w:vAlign w:val="center"/>
          </w:tcPr>
          <w:p w14:paraId="188E639E">
            <w:pPr>
              <w:tabs>
                <w:tab w:val="decimal" w:pos="315"/>
                <w:tab w:val="left" w:pos="630"/>
              </w:tabs>
              <w:spacing w:line="276" w:lineRule="auto"/>
              <w:jc w:val="center"/>
              <w:rPr>
                <w:rFonts w:hint="eastAsia" w:ascii="宋体" w:hAnsi="宋体"/>
                <w:color w:val="auto"/>
                <w:szCs w:val="21"/>
                <w:highlight w:val="none"/>
              </w:rPr>
            </w:pPr>
            <w:r>
              <w:rPr>
                <w:rFonts w:hint="eastAsia" w:ascii="宋体" w:hAnsi="宋体"/>
                <w:color w:val="auto"/>
                <w:szCs w:val="21"/>
                <w:highlight w:val="none"/>
              </w:rPr>
              <w:t>一般条款响应程度</w:t>
            </w:r>
          </w:p>
        </w:tc>
        <w:tc>
          <w:tcPr>
            <w:tcW w:w="5939" w:type="dxa"/>
            <w:noWrap w:val="0"/>
            <w:vAlign w:val="center"/>
          </w:tcPr>
          <w:p w14:paraId="7998AAE7">
            <w:pPr>
              <w:tabs>
                <w:tab w:val="decimal" w:pos="315"/>
                <w:tab w:val="left" w:pos="630"/>
              </w:tabs>
              <w:spacing w:line="276" w:lineRule="auto"/>
              <w:rPr>
                <w:rFonts w:hint="eastAsia"/>
                <w:color w:val="auto"/>
                <w:lang w:val="zh-CN"/>
              </w:rPr>
            </w:pPr>
            <w:r>
              <w:rPr>
                <w:rFonts w:hint="eastAsia"/>
                <w:color w:val="auto"/>
                <w:lang w:val="zh-CN"/>
              </w:rPr>
              <w:t>完全满足用户需求书【具体技术(参数)要求】中不带▲号或★号的一般技术参数，得</w:t>
            </w:r>
            <w:r>
              <w:rPr>
                <w:rFonts w:hint="eastAsia"/>
                <w:color w:val="auto"/>
                <w:lang w:val="en-US" w:eastAsia="zh-CN"/>
              </w:rPr>
              <w:t>18</w:t>
            </w:r>
            <w:r>
              <w:rPr>
                <w:rFonts w:hint="eastAsia"/>
                <w:color w:val="auto"/>
                <w:lang w:val="zh-CN"/>
              </w:rPr>
              <w:t>分；每出现一处不带▲号或★号的一般技术参数负偏离，扣1分，最低得0分（本项目共</w:t>
            </w:r>
            <w:r>
              <w:rPr>
                <w:rFonts w:hint="eastAsia"/>
                <w:color w:val="auto"/>
                <w:lang w:val="en-US" w:eastAsia="zh-CN"/>
              </w:rPr>
              <w:t>18</w:t>
            </w:r>
            <w:r>
              <w:rPr>
                <w:rFonts w:hint="eastAsia"/>
                <w:color w:val="auto"/>
                <w:lang w:val="zh-CN"/>
              </w:rPr>
              <w:t>个不带▲号或★号的一般技术参数）。</w:t>
            </w:r>
          </w:p>
          <w:p w14:paraId="6EC90718">
            <w:pPr>
              <w:pStyle w:val="2"/>
              <w:keepNext w:val="0"/>
              <w:keepLines w:val="0"/>
              <w:pageBreakBefore w:val="0"/>
              <w:widowControl w:val="0"/>
              <w:kinsoku/>
              <w:wordWrap/>
              <w:overflowPunct/>
              <w:topLinePunct w:val="0"/>
              <w:autoSpaceDE/>
              <w:autoSpaceDN/>
              <w:bidi w:val="0"/>
              <w:adjustRightInd/>
              <w:snapToGrid/>
              <w:spacing w:line="267" w:lineRule="auto"/>
              <w:textAlignment w:val="auto"/>
              <w:rPr>
                <w:rFonts w:hint="eastAsia"/>
                <w:lang w:val="zh-CN"/>
              </w:rPr>
            </w:pPr>
            <w:r>
              <w:rPr>
                <w:rFonts w:hint="eastAsia" w:ascii="宋体" w:hAnsi="宋体" w:eastAsia="宋体" w:cs="宋体"/>
                <w:kern w:val="2"/>
                <w:sz w:val="21"/>
                <w:szCs w:val="21"/>
              </w:rPr>
              <w:t>注：</w:t>
            </w:r>
            <w:r>
              <w:rPr>
                <w:rFonts w:hint="eastAsia" w:ascii="宋体" w:hAnsi="宋体" w:eastAsia="宋体" w:cs="宋体"/>
                <w:kern w:val="2"/>
                <w:sz w:val="21"/>
                <w:szCs w:val="21"/>
                <w:lang w:val="en-US" w:eastAsia="zh-CN"/>
              </w:rPr>
              <w:t>响应</w:t>
            </w:r>
            <w:r>
              <w:rPr>
                <w:rFonts w:hint="eastAsia" w:ascii="宋体" w:hAnsi="宋体" w:eastAsia="宋体" w:cs="宋体"/>
                <w:kern w:val="2"/>
                <w:sz w:val="21"/>
                <w:szCs w:val="21"/>
              </w:rPr>
              <w:t>文件中提供技术指标相应的技术支持文件复印件并加盖</w:t>
            </w:r>
            <w:r>
              <w:rPr>
                <w:rFonts w:hint="eastAsia" w:ascii="宋体" w:hAnsi="宋体" w:eastAsia="宋体" w:cs="宋体"/>
                <w:kern w:val="2"/>
                <w:sz w:val="21"/>
                <w:szCs w:val="21"/>
                <w:lang w:val="en-US" w:eastAsia="zh-CN"/>
              </w:rPr>
              <w:t>响应供应商</w:t>
            </w:r>
            <w:r>
              <w:rPr>
                <w:rFonts w:hint="eastAsia" w:ascii="宋体" w:hAnsi="宋体" w:eastAsia="宋体" w:cs="宋体"/>
                <w:kern w:val="2"/>
                <w:sz w:val="21"/>
                <w:szCs w:val="21"/>
              </w:rPr>
              <w:t>或生产厂家公章（技术支持文件不限于原厂彩页证明文件、技术白皮书、产品功能界面截图、检测报告等），如采购需求有具体要求，以具体要求为准。所提供的支持文件应包括所有参数，并有清晰的说明，提供的证明材料如果是英文的必须提供有资质的单位翻译成的中文材料，以翻译后的中文材料内容为准。如</w:t>
            </w:r>
            <w:r>
              <w:rPr>
                <w:rFonts w:hint="eastAsia" w:ascii="宋体" w:hAnsi="宋体" w:eastAsia="宋体" w:cs="宋体"/>
                <w:kern w:val="2"/>
                <w:sz w:val="21"/>
                <w:szCs w:val="21"/>
                <w:lang w:val="en-US" w:eastAsia="zh-CN"/>
              </w:rPr>
              <w:t>评审小组</w:t>
            </w:r>
            <w:r>
              <w:rPr>
                <w:rFonts w:hint="eastAsia" w:ascii="宋体" w:hAnsi="宋体" w:eastAsia="宋体" w:cs="宋体"/>
                <w:kern w:val="2"/>
                <w:sz w:val="21"/>
                <w:szCs w:val="21"/>
              </w:rPr>
              <w:t>无法从所提供资料中判断参数是否符合要求的，视为负偏离。未提供或未按要求提供相关证明材料的不得分。</w:t>
            </w:r>
          </w:p>
        </w:tc>
        <w:tc>
          <w:tcPr>
            <w:tcW w:w="809" w:type="dxa"/>
            <w:noWrap w:val="0"/>
            <w:vAlign w:val="center"/>
          </w:tcPr>
          <w:p w14:paraId="74836F15">
            <w:pPr>
              <w:tabs>
                <w:tab w:val="decimal" w:pos="315"/>
                <w:tab w:val="left" w:pos="630"/>
              </w:tabs>
              <w:spacing w:line="276" w:lineRule="auto"/>
              <w:jc w:val="center"/>
              <w:rPr>
                <w:rFonts w:hint="default" w:ascii="宋体" w:hAnsi="宋体"/>
                <w:color w:val="auto"/>
                <w:sz w:val="21"/>
                <w:szCs w:val="21"/>
                <w:highlight w:val="none"/>
                <w:lang w:val="en-US" w:eastAsia="zh-CN"/>
              </w:rPr>
            </w:pPr>
            <w:r>
              <w:rPr>
                <w:rFonts w:hint="eastAsia"/>
                <w:lang w:val="en-US" w:eastAsia="zh-CN"/>
              </w:rPr>
              <w:t>18</w:t>
            </w:r>
            <w:r>
              <w:rPr>
                <w:rFonts w:hint="eastAsia" w:ascii="宋体" w:hAnsi="宋体"/>
                <w:color w:val="auto"/>
                <w:sz w:val="21"/>
                <w:szCs w:val="21"/>
                <w:highlight w:val="none"/>
                <w:lang w:val="en-US" w:eastAsia="zh-CN"/>
              </w:rPr>
              <w:t>分</w:t>
            </w:r>
          </w:p>
        </w:tc>
      </w:tr>
      <w:tr w14:paraId="59CF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6" w:type="dxa"/>
            <w:vMerge w:val="continue"/>
            <w:noWrap w:val="0"/>
            <w:vAlign w:val="center"/>
          </w:tcPr>
          <w:p w14:paraId="205014AA">
            <w:pPr>
              <w:widowControl/>
              <w:spacing w:line="360" w:lineRule="auto"/>
              <w:jc w:val="center"/>
              <w:rPr>
                <w:rFonts w:hint="eastAsia" w:ascii="宋体" w:hAnsi="宋体" w:eastAsia="宋体" w:cs="宋体"/>
                <w:color w:val="auto"/>
                <w:spacing w:val="15"/>
                <w:kern w:val="0"/>
                <w:szCs w:val="21"/>
                <w:shd w:val="clear" w:color="auto" w:fill="FFFFFF"/>
                <w:lang w:eastAsia="zh-CN"/>
              </w:rPr>
            </w:pPr>
          </w:p>
        </w:tc>
        <w:tc>
          <w:tcPr>
            <w:tcW w:w="1591" w:type="dxa"/>
            <w:noWrap w:val="0"/>
            <w:vAlign w:val="center"/>
          </w:tcPr>
          <w:p w14:paraId="53A4B5F6">
            <w:pPr>
              <w:tabs>
                <w:tab w:val="decimal" w:pos="315"/>
                <w:tab w:val="left" w:pos="630"/>
              </w:tabs>
              <w:spacing w:line="276" w:lineRule="auto"/>
              <w:jc w:val="center"/>
              <w:rPr>
                <w:rFonts w:hint="eastAsia" w:ascii="宋体" w:hAnsi="宋体" w:eastAsia="宋体"/>
                <w:color w:val="auto"/>
                <w:szCs w:val="21"/>
                <w:lang w:eastAsia="zh-CN"/>
              </w:rPr>
            </w:pPr>
            <w:r>
              <w:rPr>
                <w:rFonts w:hint="eastAsia" w:ascii="宋体" w:hAnsi="宋体"/>
                <w:color w:val="auto"/>
                <w:szCs w:val="21"/>
                <w:lang w:eastAsia="zh-CN"/>
              </w:rPr>
              <w:t>总体实施方案</w:t>
            </w:r>
          </w:p>
        </w:tc>
        <w:tc>
          <w:tcPr>
            <w:tcW w:w="5939" w:type="dxa"/>
            <w:noWrap w:val="0"/>
            <w:vAlign w:val="center"/>
          </w:tcPr>
          <w:p w14:paraId="63B2C04A">
            <w:pPr>
              <w:tabs>
                <w:tab w:val="decimal" w:pos="315"/>
                <w:tab w:val="left" w:pos="630"/>
              </w:tabs>
              <w:spacing w:line="276" w:lineRule="auto"/>
              <w:rPr>
                <w:rFonts w:hint="eastAsia"/>
                <w:color w:val="auto"/>
                <w:lang w:val="zh-CN"/>
              </w:rPr>
            </w:pPr>
            <w:r>
              <w:rPr>
                <w:rFonts w:hint="eastAsia"/>
                <w:color w:val="auto"/>
                <w:lang w:val="zh-CN"/>
              </w:rPr>
              <w:t>根</w:t>
            </w:r>
            <w:r>
              <w:rPr>
                <w:rFonts w:hint="eastAsia"/>
                <w:color w:val="auto"/>
                <w:lang w:val="zh-CN"/>
              </w:rPr>
              <w:t>据供应商针对本项目提供的总体实施方案（含供货方案、安装、检测</w:t>
            </w:r>
            <w:r>
              <w:rPr>
                <w:rFonts w:hint="eastAsia"/>
                <w:color w:val="auto"/>
                <w:lang w:val="zh-CN" w:eastAsia="zh-CN"/>
              </w:rPr>
              <w:t>、</w:t>
            </w:r>
            <w:r>
              <w:rPr>
                <w:rFonts w:hint="eastAsia"/>
                <w:color w:val="auto"/>
                <w:lang w:val="en-US" w:eastAsia="zh-CN"/>
              </w:rPr>
              <w:t>详细配置、</w:t>
            </w:r>
            <w:r>
              <w:rPr>
                <w:rFonts w:hint="eastAsia"/>
                <w:color w:val="auto"/>
                <w:lang w:val="zh-CN" w:eastAsia="zh-CN"/>
              </w:rPr>
              <w:t>培训方案等）</w:t>
            </w:r>
            <w:r>
              <w:rPr>
                <w:rFonts w:hint="eastAsia"/>
                <w:color w:val="auto"/>
                <w:lang w:val="zh-CN"/>
              </w:rPr>
              <w:t>进行评审：</w:t>
            </w:r>
          </w:p>
          <w:p w14:paraId="49601D7D">
            <w:pPr>
              <w:tabs>
                <w:tab w:val="decimal" w:pos="315"/>
                <w:tab w:val="left" w:pos="630"/>
              </w:tabs>
              <w:spacing w:line="276" w:lineRule="auto"/>
              <w:rPr>
                <w:rFonts w:hint="eastAsia"/>
                <w:color w:val="auto"/>
                <w:lang w:val="zh-CN"/>
              </w:rPr>
            </w:pPr>
            <w:r>
              <w:rPr>
                <w:rFonts w:hint="eastAsia"/>
                <w:color w:val="auto"/>
                <w:lang w:val="en-US" w:eastAsia="zh-CN"/>
              </w:rPr>
              <w:t>1、</w:t>
            </w:r>
            <w:r>
              <w:rPr>
                <w:rFonts w:hint="eastAsia"/>
                <w:color w:val="auto"/>
                <w:lang w:val="zh-CN" w:eastAsia="zh-CN"/>
              </w:rPr>
              <w:t>总体</w:t>
            </w:r>
            <w:r>
              <w:rPr>
                <w:rFonts w:hint="eastAsia"/>
                <w:color w:val="auto"/>
                <w:lang w:val="zh-CN"/>
              </w:rPr>
              <w:t>实施方案内容详细</w:t>
            </w:r>
            <w:r>
              <w:rPr>
                <w:rFonts w:hint="eastAsia"/>
                <w:color w:val="auto"/>
                <w:lang w:val="zh-CN" w:eastAsia="zh-CN"/>
              </w:rPr>
              <w:t>，</w:t>
            </w:r>
            <w:r>
              <w:rPr>
                <w:rFonts w:hint="eastAsia"/>
                <w:color w:val="auto"/>
                <w:lang w:val="en-US" w:eastAsia="zh-CN"/>
              </w:rPr>
              <w:t>可操作性强</w:t>
            </w:r>
            <w:r>
              <w:rPr>
                <w:rFonts w:hint="eastAsia"/>
                <w:color w:val="auto"/>
                <w:lang w:val="zh-CN"/>
              </w:rPr>
              <w:t>，能完全满足采购需求及项目实施要求，得</w:t>
            </w:r>
            <w:r>
              <w:rPr>
                <w:rFonts w:hint="eastAsia"/>
                <w:color w:val="auto"/>
                <w:lang w:val="en-US" w:eastAsia="zh-CN"/>
              </w:rPr>
              <w:t>10</w:t>
            </w:r>
            <w:r>
              <w:rPr>
                <w:rFonts w:hint="eastAsia"/>
                <w:color w:val="auto"/>
                <w:lang w:val="zh-CN"/>
              </w:rPr>
              <w:t xml:space="preserve">分；    </w:t>
            </w:r>
          </w:p>
          <w:p w14:paraId="5F3EDCDC">
            <w:pPr>
              <w:tabs>
                <w:tab w:val="decimal" w:pos="315"/>
                <w:tab w:val="left" w:pos="630"/>
              </w:tabs>
              <w:spacing w:line="276" w:lineRule="auto"/>
              <w:rPr>
                <w:rFonts w:hint="eastAsia"/>
                <w:color w:val="auto"/>
                <w:lang w:val="zh-CN"/>
              </w:rPr>
            </w:pPr>
            <w:r>
              <w:rPr>
                <w:rFonts w:hint="eastAsia"/>
                <w:color w:val="auto"/>
                <w:lang w:val="en-US" w:eastAsia="zh-CN"/>
              </w:rPr>
              <w:t>2、总体</w:t>
            </w:r>
            <w:r>
              <w:rPr>
                <w:rFonts w:hint="eastAsia"/>
                <w:color w:val="auto"/>
                <w:lang w:val="zh-CN"/>
              </w:rPr>
              <w:t>实施方案内容较详细，</w:t>
            </w:r>
            <w:r>
              <w:rPr>
                <w:rFonts w:hint="eastAsia"/>
                <w:color w:val="auto"/>
                <w:lang w:val="en-US" w:eastAsia="zh-CN"/>
              </w:rPr>
              <w:t>可操作性较强</w:t>
            </w:r>
            <w:r>
              <w:rPr>
                <w:rFonts w:hint="eastAsia"/>
                <w:color w:val="auto"/>
                <w:lang w:val="zh-CN"/>
              </w:rPr>
              <w:t xml:space="preserve">，基本满足采购需求及项目实施要求，得 </w:t>
            </w:r>
            <w:r>
              <w:rPr>
                <w:rFonts w:hint="eastAsia"/>
                <w:color w:val="auto"/>
                <w:lang w:val="en-US" w:eastAsia="zh-CN"/>
              </w:rPr>
              <w:t>8</w:t>
            </w:r>
            <w:r>
              <w:rPr>
                <w:rFonts w:hint="eastAsia"/>
                <w:color w:val="auto"/>
                <w:lang w:val="zh-CN"/>
              </w:rPr>
              <w:t xml:space="preserve">分；     </w:t>
            </w:r>
          </w:p>
          <w:p w14:paraId="110B5B82">
            <w:pPr>
              <w:tabs>
                <w:tab w:val="decimal" w:pos="315"/>
                <w:tab w:val="left" w:pos="630"/>
              </w:tabs>
              <w:spacing w:line="276" w:lineRule="auto"/>
              <w:rPr>
                <w:rFonts w:hint="eastAsia"/>
                <w:color w:val="auto"/>
                <w:lang w:val="zh-CN"/>
              </w:rPr>
            </w:pPr>
            <w:r>
              <w:rPr>
                <w:rFonts w:hint="eastAsia"/>
                <w:color w:val="auto"/>
                <w:lang w:val="en-US" w:eastAsia="zh-CN"/>
              </w:rPr>
              <w:t>3、总体</w:t>
            </w:r>
            <w:r>
              <w:rPr>
                <w:rFonts w:hint="eastAsia"/>
                <w:color w:val="auto"/>
                <w:lang w:val="zh-CN"/>
              </w:rPr>
              <w:t>实施方案内容较简单，</w:t>
            </w:r>
            <w:r>
              <w:rPr>
                <w:rFonts w:hint="eastAsia"/>
                <w:color w:val="auto"/>
                <w:lang w:val="en-US" w:eastAsia="zh-CN"/>
              </w:rPr>
              <w:t>可操作性一般</w:t>
            </w:r>
            <w:r>
              <w:rPr>
                <w:rFonts w:hint="eastAsia"/>
                <w:color w:val="auto"/>
                <w:lang w:val="zh-CN"/>
              </w:rPr>
              <w:t xml:space="preserve">，对采购需求响应一般，得 </w:t>
            </w:r>
            <w:r>
              <w:rPr>
                <w:rFonts w:hint="eastAsia"/>
                <w:color w:val="auto"/>
                <w:lang w:val="en-US" w:eastAsia="zh-CN"/>
              </w:rPr>
              <w:t>6</w:t>
            </w:r>
            <w:r>
              <w:rPr>
                <w:rFonts w:hint="eastAsia"/>
                <w:color w:val="auto"/>
                <w:lang w:val="zh-CN"/>
              </w:rPr>
              <w:t xml:space="preserve">分；    </w:t>
            </w:r>
          </w:p>
          <w:p w14:paraId="0C9DB60B">
            <w:pPr>
              <w:tabs>
                <w:tab w:val="decimal" w:pos="315"/>
                <w:tab w:val="left" w:pos="630"/>
              </w:tabs>
              <w:spacing w:line="276" w:lineRule="auto"/>
              <w:rPr>
                <w:rFonts w:hint="eastAsia"/>
                <w:color w:val="auto"/>
                <w:lang w:val="zh-CN"/>
              </w:rPr>
            </w:pPr>
            <w:r>
              <w:rPr>
                <w:rFonts w:hint="eastAsia"/>
                <w:color w:val="auto"/>
                <w:lang w:val="en-US" w:eastAsia="zh-CN"/>
              </w:rPr>
              <w:t>4、总体</w:t>
            </w:r>
            <w:r>
              <w:rPr>
                <w:rFonts w:hint="eastAsia"/>
                <w:color w:val="auto"/>
                <w:lang w:val="zh-CN"/>
              </w:rPr>
              <w:t>实施方案内容较差、无针对性，无法满足采购需求，得</w:t>
            </w:r>
            <w:r>
              <w:rPr>
                <w:rFonts w:hint="eastAsia"/>
                <w:color w:val="auto"/>
                <w:lang w:val="en-US" w:eastAsia="zh-CN"/>
              </w:rPr>
              <w:t>4</w:t>
            </w:r>
            <w:r>
              <w:rPr>
                <w:rFonts w:hint="eastAsia"/>
                <w:color w:val="auto"/>
                <w:lang w:val="zh-CN"/>
              </w:rPr>
              <w:t>分</w:t>
            </w:r>
            <w:r>
              <w:rPr>
                <w:rFonts w:hint="eastAsia"/>
                <w:color w:val="auto"/>
                <w:lang w:val="zh-CN" w:eastAsia="zh-CN"/>
              </w:rPr>
              <w:t>；</w:t>
            </w:r>
          </w:p>
          <w:p w14:paraId="609644D7">
            <w:pPr>
              <w:tabs>
                <w:tab w:val="decimal" w:pos="315"/>
                <w:tab w:val="left" w:pos="630"/>
              </w:tabs>
              <w:spacing w:line="276" w:lineRule="auto"/>
              <w:rPr>
                <w:rFonts w:hint="eastAsia" w:ascii="Times New Roman" w:hAnsi="Times New Roman" w:eastAsia="宋体" w:cs="Times New Roman"/>
                <w:kern w:val="2"/>
                <w:sz w:val="21"/>
                <w:szCs w:val="24"/>
                <w:lang w:val="en-US" w:eastAsia="zh-CN" w:bidi="ar-SA"/>
              </w:rPr>
            </w:pPr>
            <w:r>
              <w:rPr>
                <w:rFonts w:hint="eastAsia"/>
                <w:color w:val="auto"/>
                <w:lang w:val="en-US" w:eastAsia="zh-CN"/>
              </w:rPr>
              <w:t>5、未</w:t>
            </w:r>
            <w:r>
              <w:rPr>
                <w:rFonts w:hint="eastAsia"/>
                <w:color w:val="auto"/>
                <w:lang w:val="zh-CN"/>
              </w:rPr>
              <w:t>提供方案的不得分。</w:t>
            </w:r>
          </w:p>
        </w:tc>
        <w:tc>
          <w:tcPr>
            <w:tcW w:w="809" w:type="dxa"/>
            <w:noWrap w:val="0"/>
            <w:vAlign w:val="center"/>
          </w:tcPr>
          <w:p w14:paraId="1C48CA07">
            <w:pPr>
              <w:tabs>
                <w:tab w:val="decimal" w:pos="315"/>
                <w:tab w:val="left" w:pos="630"/>
              </w:tabs>
              <w:spacing w:line="276" w:lineRule="auto"/>
              <w:jc w:val="center"/>
              <w:rPr>
                <w:rFonts w:hint="default"/>
                <w:lang w:val="en-US" w:eastAsia="zh-CN"/>
              </w:rPr>
            </w:pPr>
            <w:r>
              <w:rPr>
                <w:rFonts w:hint="eastAsia"/>
                <w:lang w:val="en-US" w:eastAsia="zh-CN"/>
              </w:rPr>
              <w:t>10分</w:t>
            </w:r>
            <w:bookmarkStart w:id="1" w:name="_GoBack"/>
            <w:bookmarkEnd w:id="1"/>
          </w:p>
        </w:tc>
      </w:tr>
      <w:tr w14:paraId="2E40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6" w:type="dxa"/>
            <w:vMerge w:val="continue"/>
            <w:noWrap w:val="0"/>
            <w:vAlign w:val="center"/>
          </w:tcPr>
          <w:p w14:paraId="6603D254">
            <w:pPr>
              <w:widowControl/>
              <w:spacing w:line="360" w:lineRule="auto"/>
              <w:jc w:val="center"/>
              <w:rPr>
                <w:rFonts w:hint="eastAsia" w:ascii="宋体" w:hAnsi="宋体" w:eastAsia="宋体" w:cs="宋体"/>
                <w:color w:val="auto"/>
                <w:spacing w:val="15"/>
                <w:kern w:val="0"/>
                <w:szCs w:val="21"/>
                <w:shd w:val="clear" w:color="auto" w:fill="FFFFFF"/>
                <w:lang w:eastAsia="zh-CN"/>
              </w:rPr>
            </w:pPr>
          </w:p>
        </w:tc>
        <w:tc>
          <w:tcPr>
            <w:tcW w:w="1591" w:type="dxa"/>
            <w:noWrap w:val="0"/>
            <w:vAlign w:val="center"/>
          </w:tcPr>
          <w:p w14:paraId="0661F9B7">
            <w:pPr>
              <w:tabs>
                <w:tab w:val="decimal" w:pos="315"/>
                <w:tab w:val="left" w:pos="630"/>
              </w:tabs>
              <w:spacing w:line="276" w:lineRule="auto"/>
              <w:jc w:val="center"/>
              <w:rPr>
                <w:rFonts w:hint="eastAsia" w:ascii="宋体" w:hAnsi="宋体" w:eastAsia="宋体"/>
                <w:color w:val="auto"/>
                <w:szCs w:val="21"/>
                <w:lang w:eastAsia="zh-CN"/>
              </w:rPr>
            </w:pPr>
            <w:r>
              <w:rPr>
                <w:rFonts w:hint="eastAsia" w:ascii="宋体" w:hAnsi="宋体"/>
                <w:color w:val="auto"/>
                <w:szCs w:val="21"/>
              </w:rPr>
              <w:t>售后服务</w:t>
            </w:r>
            <w:r>
              <w:rPr>
                <w:rFonts w:hint="eastAsia" w:ascii="宋体" w:hAnsi="宋体"/>
                <w:color w:val="auto"/>
                <w:szCs w:val="21"/>
                <w:lang w:eastAsia="zh-CN"/>
              </w:rPr>
              <w:t>方案</w:t>
            </w:r>
          </w:p>
        </w:tc>
        <w:tc>
          <w:tcPr>
            <w:tcW w:w="5939" w:type="dxa"/>
            <w:noWrap w:val="0"/>
            <w:vAlign w:val="center"/>
          </w:tcPr>
          <w:p w14:paraId="171433D0">
            <w:pPr>
              <w:tabs>
                <w:tab w:val="decimal" w:pos="315"/>
                <w:tab w:val="left" w:pos="630"/>
              </w:tabs>
              <w:spacing w:line="276"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根据供应商针对本项目提供的售后服务</w:t>
            </w:r>
            <w:r>
              <w:rPr>
                <w:rFonts w:hint="eastAsia" w:cs="Times New Roman"/>
                <w:kern w:val="2"/>
                <w:sz w:val="21"/>
                <w:szCs w:val="24"/>
                <w:lang w:val="en-US" w:eastAsia="zh-CN" w:bidi="ar-SA"/>
              </w:rPr>
              <w:t>方案</w:t>
            </w:r>
            <w:r>
              <w:rPr>
                <w:rFonts w:hint="eastAsia" w:ascii="Times New Roman" w:hAnsi="Times New Roman" w:eastAsia="宋体" w:cs="Times New Roman"/>
                <w:kern w:val="2"/>
                <w:sz w:val="21"/>
                <w:szCs w:val="24"/>
                <w:lang w:val="en-US" w:eastAsia="zh-CN" w:bidi="ar-SA"/>
              </w:rPr>
              <w:t>(包括保修期限、零配件供应、服务响应时间、维护保养服务承诺等)进行</w:t>
            </w:r>
            <w:r>
              <w:rPr>
                <w:rFonts w:hint="eastAsia" w:cs="Times New Roman"/>
                <w:kern w:val="2"/>
                <w:sz w:val="21"/>
                <w:szCs w:val="24"/>
                <w:lang w:val="en-US" w:eastAsia="zh-CN" w:bidi="ar-SA"/>
              </w:rPr>
              <w:t>评审</w:t>
            </w:r>
            <w:r>
              <w:rPr>
                <w:rFonts w:hint="eastAsia" w:ascii="Times New Roman" w:hAnsi="Times New Roman" w:eastAsia="宋体" w:cs="Times New Roman"/>
                <w:kern w:val="2"/>
                <w:sz w:val="21"/>
                <w:szCs w:val="24"/>
                <w:lang w:val="en-US" w:eastAsia="zh-CN" w:bidi="ar-SA"/>
              </w:rPr>
              <w:t>核：</w:t>
            </w:r>
          </w:p>
          <w:p w14:paraId="5225794F">
            <w:pPr>
              <w:tabs>
                <w:tab w:val="decimal" w:pos="315"/>
                <w:tab w:val="left" w:pos="630"/>
              </w:tabs>
              <w:spacing w:line="276"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1、售后服务方案完善清晰，有详细具体可行的</w:t>
            </w:r>
            <w:r>
              <w:rPr>
                <w:rFonts w:hint="eastAsia" w:cs="Times New Roman"/>
                <w:kern w:val="2"/>
                <w:sz w:val="21"/>
                <w:szCs w:val="24"/>
                <w:lang w:val="en-US" w:eastAsia="zh-CN" w:bidi="ar-SA"/>
              </w:rPr>
              <w:t>维护保养</w:t>
            </w:r>
            <w:r>
              <w:rPr>
                <w:rFonts w:hint="eastAsia" w:ascii="Times New Roman" w:hAnsi="Times New Roman" w:eastAsia="宋体" w:cs="Times New Roman"/>
                <w:kern w:val="2"/>
                <w:sz w:val="21"/>
                <w:szCs w:val="24"/>
                <w:lang w:val="en-US" w:eastAsia="zh-CN" w:bidi="ar-SA"/>
              </w:rPr>
              <w:t>服务承诺，</w:t>
            </w:r>
            <w:r>
              <w:rPr>
                <w:rFonts w:hint="eastAsia" w:cs="Times New Roman"/>
                <w:kern w:val="2"/>
                <w:sz w:val="21"/>
                <w:szCs w:val="24"/>
                <w:lang w:val="en-US" w:eastAsia="zh-CN" w:bidi="ar-SA"/>
              </w:rPr>
              <w:t>保修期限、</w:t>
            </w:r>
            <w:r>
              <w:rPr>
                <w:rFonts w:hint="eastAsia" w:ascii="Times New Roman" w:hAnsi="Times New Roman" w:eastAsia="宋体" w:cs="Times New Roman"/>
                <w:kern w:val="2"/>
                <w:sz w:val="21"/>
                <w:szCs w:val="24"/>
                <w:lang w:val="en-US" w:eastAsia="zh-CN" w:bidi="ar-SA"/>
              </w:rPr>
              <w:t>零配件供应</w:t>
            </w:r>
            <w:r>
              <w:rPr>
                <w:rFonts w:hint="eastAsia" w:cs="Times New Roman"/>
                <w:kern w:val="2"/>
                <w:sz w:val="21"/>
                <w:szCs w:val="24"/>
                <w:lang w:val="en-US" w:eastAsia="zh-CN" w:bidi="ar-SA"/>
              </w:rPr>
              <w:t>、服务响应时间</w:t>
            </w:r>
            <w:r>
              <w:rPr>
                <w:rFonts w:hint="eastAsia" w:ascii="Times New Roman" w:hAnsi="Times New Roman" w:eastAsia="宋体" w:cs="Times New Roman"/>
                <w:kern w:val="2"/>
                <w:sz w:val="21"/>
                <w:szCs w:val="24"/>
                <w:lang w:val="en-US" w:eastAsia="zh-CN" w:bidi="ar-SA"/>
              </w:rPr>
              <w:t>等保修服务</w:t>
            </w:r>
            <w:r>
              <w:rPr>
                <w:rFonts w:hint="eastAsia" w:cs="Times New Roman"/>
                <w:kern w:val="2"/>
                <w:sz w:val="21"/>
                <w:szCs w:val="24"/>
                <w:lang w:val="en-US" w:eastAsia="zh-CN" w:bidi="ar-SA"/>
              </w:rPr>
              <w:t>内容</w:t>
            </w:r>
            <w:r>
              <w:rPr>
                <w:rFonts w:hint="eastAsia" w:ascii="Times New Roman" w:hAnsi="Times New Roman" w:eastAsia="宋体" w:cs="Times New Roman"/>
                <w:kern w:val="2"/>
                <w:sz w:val="21"/>
                <w:szCs w:val="24"/>
                <w:lang w:val="en-US" w:eastAsia="zh-CN" w:bidi="ar-SA"/>
              </w:rPr>
              <w:t>合理，完全满足</w:t>
            </w:r>
            <w:r>
              <w:rPr>
                <w:rFonts w:hint="eastAsia" w:cs="Times New Roman"/>
                <w:kern w:val="2"/>
                <w:sz w:val="21"/>
                <w:szCs w:val="24"/>
                <w:lang w:val="en-US" w:eastAsia="zh-CN" w:bidi="ar-SA"/>
              </w:rPr>
              <w:t>或</w:t>
            </w:r>
            <w:r>
              <w:rPr>
                <w:rFonts w:hint="eastAsia" w:ascii="Times New Roman" w:hAnsi="Times New Roman" w:eastAsia="宋体" w:cs="Times New Roman"/>
                <w:kern w:val="2"/>
                <w:sz w:val="21"/>
                <w:szCs w:val="24"/>
                <w:lang w:val="en-US" w:eastAsia="zh-CN" w:bidi="ar-SA"/>
              </w:rPr>
              <w:t xml:space="preserve">优于采购需求，得6分； </w:t>
            </w:r>
          </w:p>
          <w:p w14:paraId="2FB72EAF">
            <w:pPr>
              <w:tabs>
                <w:tab w:val="decimal" w:pos="315"/>
                <w:tab w:val="left" w:pos="630"/>
              </w:tabs>
              <w:spacing w:line="276"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2、售后服务方案</w:t>
            </w:r>
            <w:r>
              <w:rPr>
                <w:rFonts w:hint="eastAsia" w:ascii="Times New Roman" w:hAnsi="Times New Roman" w:cs="Times New Roman"/>
                <w:kern w:val="2"/>
                <w:sz w:val="21"/>
                <w:szCs w:val="24"/>
                <w:lang w:val="en-US" w:eastAsia="zh-CN" w:bidi="ar-SA"/>
              </w:rPr>
              <w:t>较</w:t>
            </w:r>
            <w:r>
              <w:rPr>
                <w:rFonts w:hint="eastAsia" w:ascii="Times New Roman" w:hAnsi="Times New Roman" w:eastAsia="宋体" w:cs="Times New Roman"/>
                <w:kern w:val="2"/>
                <w:sz w:val="21"/>
                <w:szCs w:val="24"/>
                <w:lang w:val="en-US" w:eastAsia="zh-CN" w:bidi="ar-SA"/>
              </w:rPr>
              <w:t>完善，有</w:t>
            </w:r>
            <w:r>
              <w:rPr>
                <w:rFonts w:hint="eastAsia" w:ascii="Times New Roman" w:hAnsi="Times New Roman" w:cs="Times New Roman"/>
                <w:kern w:val="2"/>
                <w:sz w:val="21"/>
                <w:szCs w:val="24"/>
                <w:lang w:val="en-US" w:eastAsia="zh-CN" w:bidi="ar-SA"/>
              </w:rPr>
              <w:t>比较</w:t>
            </w:r>
            <w:r>
              <w:rPr>
                <w:rFonts w:hint="eastAsia" w:ascii="Times New Roman" w:hAnsi="Times New Roman" w:eastAsia="宋体" w:cs="Times New Roman"/>
                <w:kern w:val="2"/>
                <w:sz w:val="21"/>
                <w:szCs w:val="24"/>
                <w:lang w:val="en-US" w:eastAsia="zh-CN" w:bidi="ar-SA"/>
              </w:rPr>
              <w:t>详细具体可行的</w:t>
            </w:r>
            <w:r>
              <w:rPr>
                <w:rFonts w:hint="eastAsia" w:cs="Times New Roman"/>
                <w:kern w:val="2"/>
                <w:sz w:val="21"/>
                <w:szCs w:val="24"/>
                <w:lang w:val="en-US" w:eastAsia="zh-CN" w:bidi="ar-SA"/>
              </w:rPr>
              <w:t>维护保养</w:t>
            </w:r>
            <w:r>
              <w:rPr>
                <w:rFonts w:hint="eastAsia" w:ascii="Times New Roman" w:hAnsi="Times New Roman" w:eastAsia="宋体" w:cs="Times New Roman"/>
                <w:kern w:val="2"/>
                <w:sz w:val="21"/>
                <w:szCs w:val="24"/>
                <w:lang w:val="en-US" w:eastAsia="zh-CN" w:bidi="ar-SA"/>
              </w:rPr>
              <w:t>服务承诺，</w:t>
            </w:r>
            <w:r>
              <w:rPr>
                <w:rFonts w:hint="eastAsia" w:cs="Times New Roman"/>
                <w:kern w:val="2"/>
                <w:sz w:val="21"/>
                <w:szCs w:val="24"/>
                <w:lang w:val="en-US" w:eastAsia="zh-CN" w:bidi="ar-SA"/>
              </w:rPr>
              <w:t>保修期限、</w:t>
            </w:r>
            <w:r>
              <w:rPr>
                <w:rFonts w:hint="eastAsia" w:ascii="Times New Roman" w:hAnsi="Times New Roman" w:eastAsia="宋体" w:cs="Times New Roman"/>
                <w:kern w:val="2"/>
                <w:sz w:val="21"/>
                <w:szCs w:val="24"/>
                <w:lang w:val="en-US" w:eastAsia="zh-CN" w:bidi="ar-SA"/>
              </w:rPr>
              <w:t>零配件供应</w:t>
            </w:r>
            <w:r>
              <w:rPr>
                <w:rFonts w:hint="eastAsia" w:cs="Times New Roman"/>
                <w:kern w:val="2"/>
                <w:sz w:val="21"/>
                <w:szCs w:val="24"/>
                <w:lang w:val="en-US" w:eastAsia="zh-CN" w:bidi="ar-SA"/>
              </w:rPr>
              <w:t>、服务响应时间</w:t>
            </w:r>
            <w:r>
              <w:rPr>
                <w:rFonts w:hint="eastAsia" w:ascii="Times New Roman" w:hAnsi="Times New Roman" w:eastAsia="宋体" w:cs="Times New Roman"/>
                <w:kern w:val="2"/>
                <w:sz w:val="21"/>
                <w:szCs w:val="24"/>
                <w:lang w:val="en-US" w:eastAsia="zh-CN" w:bidi="ar-SA"/>
              </w:rPr>
              <w:t>等保修服务</w:t>
            </w:r>
            <w:r>
              <w:rPr>
                <w:rFonts w:hint="eastAsia" w:cs="Times New Roman"/>
                <w:kern w:val="2"/>
                <w:sz w:val="21"/>
                <w:szCs w:val="24"/>
                <w:lang w:val="en-US" w:eastAsia="zh-CN" w:bidi="ar-SA"/>
              </w:rPr>
              <w:t>内容较</w:t>
            </w:r>
            <w:r>
              <w:rPr>
                <w:rFonts w:hint="eastAsia" w:ascii="Times New Roman" w:hAnsi="Times New Roman" w:eastAsia="宋体" w:cs="Times New Roman"/>
                <w:kern w:val="2"/>
                <w:sz w:val="21"/>
                <w:szCs w:val="24"/>
                <w:lang w:val="en-US" w:eastAsia="zh-CN" w:bidi="ar-SA"/>
              </w:rPr>
              <w:t>合理，</w:t>
            </w:r>
            <w:r>
              <w:rPr>
                <w:rFonts w:hint="eastAsia" w:ascii="Times New Roman" w:hAnsi="Times New Roman" w:cs="Times New Roman"/>
                <w:kern w:val="2"/>
                <w:sz w:val="21"/>
                <w:szCs w:val="24"/>
                <w:lang w:val="en-US" w:eastAsia="zh-CN" w:bidi="ar-SA"/>
              </w:rPr>
              <w:t>基本</w:t>
            </w:r>
            <w:r>
              <w:rPr>
                <w:rFonts w:hint="eastAsia" w:ascii="Times New Roman" w:hAnsi="Times New Roman" w:eastAsia="宋体" w:cs="Times New Roman"/>
                <w:kern w:val="2"/>
                <w:sz w:val="21"/>
                <w:szCs w:val="24"/>
                <w:lang w:val="en-US" w:eastAsia="zh-CN" w:bidi="ar-SA"/>
              </w:rPr>
              <w:t>满足</w:t>
            </w:r>
            <w:r>
              <w:rPr>
                <w:rFonts w:hint="eastAsia" w:ascii="Times New Roman" w:hAnsi="Times New Roman" w:cs="Times New Roman"/>
                <w:kern w:val="2"/>
                <w:sz w:val="21"/>
                <w:szCs w:val="24"/>
                <w:lang w:val="en-US" w:eastAsia="zh-CN" w:bidi="ar-SA"/>
              </w:rPr>
              <w:t>采购需求</w:t>
            </w:r>
            <w:r>
              <w:rPr>
                <w:rFonts w:hint="eastAsia" w:ascii="Times New Roman" w:hAnsi="Times New Roman" w:eastAsia="宋体" w:cs="Times New Roman"/>
                <w:kern w:val="2"/>
                <w:sz w:val="21"/>
                <w:szCs w:val="24"/>
                <w:lang w:val="en-US" w:eastAsia="zh-CN" w:bidi="ar-SA"/>
              </w:rPr>
              <w:t xml:space="preserve">，得4分； </w:t>
            </w:r>
          </w:p>
          <w:p w14:paraId="33A69694">
            <w:pPr>
              <w:tabs>
                <w:tab w:val="decimal" w:pos="315"/>
                <w:tab w:val="left" w:pos="630"/>
              </w:tabs>
              <w:spacing w:line="276"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3、售后服务方案</w:t>
            </w:r>
            <w:r>
              <w:rPr>
                <w:rFonts w:hint="eastAsia" w:ascii="Times New Roman" w:hAnsi="Times New Roman" w:cs="Times New Roman"/>
                <w:kern w:val="2"/>
                <w:sz w:val="21"/>
                <w:szCs w:val="24"/>
                <w:lang w:val="en-US" w:eastAsia="zh-CN" w:bidi="ar-SA"/>
              </w:rPr>
              <w:t>一般</w:t>
            </w:r>
            <w:r>
              <w:rPr>
                <w:rFonts w:hint="eastAsia" w:ascii="Times New Roman" w:hAnsi="Times New Roman" w:eastAsia="宋体" w:cs="Times New Roman"/>
                <w:kern w:val="2"/>
                <w:sz w:val="21"/>
                <w:szCs w:val="24"/>
                <w:lang w:val="en-US" w:eastAsia="zh-CN" w:bidi="ar-SA"/>
              </w:rPr>
              <w:t>，</w:t>
            </w:r>
            <w:r>
              <w:rPr>
                <w:rFonts w:hint="eastAsia" w:cs="Times New Roman"/>
                <w:kern w:val="2"/>
                <w:sz w:val="21"/>
                <w:szCs w:val="24"/>
                <w:lang w:val="en-US" w:eastAsia="zh-CN" w:bidi="ar-SA"/>
              </w:rPr>
              <w:t>维护保养</w:t>
            </w:r>
            <w:r>
              <w:rPr>
                <w:rFonts w:hint="eastAsia" w:ascii="Times New Roman" w:hAnsi="Times New Roman" w:eastAsia="宋体" w:cs="Times New Roman"/>
                <w:kern w:val="2"/>
                <w:sz w:val="21"/>
                <w:szCs w:val="24"/>
                <w:lang w:val="en-US" w:eastAsia="zh-CN" w:bidi="ar-SA"/>
              </w:rPr>
              <w:t>服务承诺</w:t>
            </w:r>
            <w:r>
              <w:rPr>
                <w:rFonts w:hint="eastAsia" w:ascii="Times New Roman" w:hAnsi="Times New Roman" w:cs="Times New Roman"/>
                <w:kern w:val="2"/>
                <w:sz w:val="21"/>
                <w:szCs w:val="24"/>
                <w:lang w:val="en-US" w:eastAsia="zh-CN" w:bidi="ar-SA"/>
              </w:rPr>
              <w:t>一般</w:t>
            </w:r>
            <w:r>
              <w:rPr>
                <w:rFonts w:hint="eastAsia" w:ascii="Times New Roman" w:hAnsi="Times New Roman" w:eastAsia="宋体" w:cs="Times New Roman"/>
                <w:kern w:val="2"/>
                <w:sz w:val="21"/>
                <w:szCs w:val="24"/>
                <w:lang w:val="en-US" w:eastAsia="zh-CN" w:bidi="ar-SA"/>
              </w:rPr>
              <w:t>，</w:t>
            </w:r>
            <w:r>
              <w:rPr>
                <w:rFonts w:hint="eastAsia" w:cs="Times New Roman"/>
                <w:kern w:val="2"/>
                <w:sz w:val="21"/>
                <w:szCs w:val="24"/>
                <w:lang w:val="en-US" w:eastAsia="zh-CN" w:bidi="ar-SA"/>
              </w:rPr>
              <w:t>保修期限、</w:t>
            </w:r>
            <w:r>
              <w:rPr>
                <w:rFonts w:hint="eastAsia" w:ascii="Times New Roman" w:hAnsi="Times New Roman" w:eastAsia="宋体" w:cs="Times New Roman"/>
                <w:kern w:val="2"/>
                <w:sz w:val="21"/>
                <w:szCs w:val="24"/>
                <w:lang w:val="en-US" w:eastAsia="zh-CN" w:bidi="ar-SA"/>
              </w:rPr>
              <w:t>零配件供应</w:t>
            </w:r>
            <w:r>
              <w:rPr>
                <w:rFonts w:hint="eastAsia" w:cs="Times New Roman"/>
                <w:kern w:val="2"/>
                <w:sz w:val="21"/>
                <w:szCs w:val="24"/>
                <w:lang w:val="en-US" w:eastAsia="zh-CN" w:bidi="ar-SA"/>
              </w:rPr>
              <w:t>、服务响应时间</w:t>
            </w:r>
            <w:r>
              <w:rPr>
                <w:rFonts w:hint="eastAsia" w:ascii="Times New Roman" w:hAnsi="Times New Roman" w:eastAsia="宋体" w:cs="Times New Roman"/>
                <w:kern w:val="2"/>
                <w:sz w:val="21"/>
                <w:szCs w:val="24"/>
                <w:lang w:val="en-US" w:eastAsia="zh-CN" w:bidi="ar-SA"/>
              </w:rPr>
              <w:t>等保修服务</w:t>
            </w:r>
            <w:r>
              <w:rPr>
                <w:rFonts w:hint="eastAsia" w:cs="Times New Roman"/>
                <w:kern w:val="2"/>
                <w:sz w:val="21"/>
                <w:szCs w:val="24"/>
                <w:lang w:val="en-US" w:eastAsia="zh-CN" w:bidi="ar-SA"/>
              </w:rPr>
              <w:t>内容一般</w:t>
            </w:r>
            <w:r>
              <w:rPr>
                <w:rFonts w:hint="eastAsia" w:ascii="Times New Roman" w:hAnsi="Times New Roman" w:eastAsia="宋体" w:cs="Times New Roman"/>
                <w:kern w:val="2"/>
                <w:sz w:val="21"/>
                <w:szCs w:val="24"/>
                <w:lang w:val="en-US" w:eastAsia="zh-CN" w:bidi="ar-SA"/>
              </w:rPr>
              <w:t>，</w:t>
            </w:r>
            <w:r>
              <w:rPr>
                <w:rFonts w:hint="eastAsia" w:cs="Times New Roman"/>
                <w:kern w:val="2"/>
                <w:sz w:val="21"/>
                <w:szCs w:val="24"/>
                <w:lang w:val="en-US" w:eastAsia="zh-CN" w:bidi="ar-SA"/>
              </w:rPr>
              <w:t>不能</w:t>
            </w:r>
            <w:r>
              <w:rPr>
                <w:rFonts w:hint="eastAsia" w:ascii="Times New Roman" w:hAnsi="Times New Roman" w:eastAsia="宋体" w:cs="Times New Roman"/>
                <w:kern w:val="2"/>
                <w:sz w:val="21"/>
                <w:szCs w:val="24"/>
                <w:lang w:val="en-US" w:eastAsia="zh-CN" w:bidi="ar-SA"/>
              </w:rPr>
              <w:t xml:space="preserve">满足采购需求，得2分； </w:t>
            </w:r>
          </w:p>
          <w:p w14:paraId="2C659E32">
            <w:pPr>
              <w:tabs>
                <w:tab w:val="decimal" w:pos="315"/>
                <w:tab w:val="left" w:pos="630"/>
              </w:tabs>
              <w:spacing w:line="276"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4、无提供方案不得分。</w:t>
            </w:r>
          </w:p>
        </w:tc>
        <w:tc>
          <w:tcPr>
            <w:tcW w:w="809" w:type="dxa"/>
            <w:noWrap w:val="0"/>
            <w:vAlign w:val="center"/>
          </w:tcPr>
          <w:p w14:paraId="08697F45">
            <w:pPr>
              <w:tabs>
                <w:tab w:val="decimal" w:pos="315"/>
                <w:tab w:val="left" w:pos="630"/>
              </w:tabs>
              <w:spacing w:line="276" w:lineRule="auto"/>
              <w:jc w:val="center"/>
              <w:rPr>
                <w:rFonts w:ascii="宋体" w:hAnsi="宋体" w:cs="宋体"/>
                <w:color w:val="auto"/>
              </w:rPr>
            </w:pPr>
            <w:r>
              <w:rPr>
                <w:rFonts w:hint="eastAsia"/>
                <w:lang w:val="en-US" w:eastAsia="zh-CN"/>
              </w:rPr>
              <w:t>6分</w:t>
            </w:r>
          </w:p>
        </w:tc>
      </w:tr>
      <w:tr w14:paraId="5790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16" w:type="dxa"/>
            <w:vMerge w:val="continue"/>
            <w:noWrap w:val="0"/>
            <w:vAlign w:val="center"/>
          </w:tcPr>
          <w:p w14:paraId="2C6F94BD">
            <w:pPr>
              <w:widowControl/>
              <w:spacing w:line="360" w:lineRule="auto"/>
              <w:jc w:val="center"/>
              <w:rPr>
                <w:rFonts w:hint="default" w:ascii="宋体" w:hAnsi="宋体" w:cs="宋体"/>
                <w:color w:val="auto"/>
                <w:spacing w:val="15"/>
                <w:kern w:val="0"/>
                <w:szCs w:val="21"/>
                <w:shd w:val="clear" w:color="auto" w:fill="FFFFFF"/>
                <w:lang w:val="en-US" w:eastAsia="zh-CN"/>
              </w:rPr>
            </w:pPr>
          </w:p>
        </w:tc>
        <w:tc>
          <w:tcPr>
            <w:tcW w:w="1591" w:type="dxa"/>
            <w:noWrap w:val="0"/>
            <w:vAlign w:val="center"/>
          </w:tcPr>
          <w:p w14:paraId="333CA7AB">
            <w:pPr>
              <w:tabs>
                <w:tab w:val="decimal" w:pos="315"/>
                <w:tab w:val="left" w:pos="630"/>
              </w:tabs>
              <w:spacing w:line="276" w:lineRule="auto"/>
              <w:jc w:val="center"/>
              <w:rPr>
                <w:rFonts w:hint="default" w:eastAsia="宋体"/>
                <w:color w:val="auto"/>
                <w:lang w:val="en-US" w:eastAsia="zh-CN"/>
              </w:rPr>
            </w:pPr>
            <w:r>
              <w:rPr>
                <w:rFonts w:hint="default" w:eastAsia="宋体"/>
                <w:color w:val="auto"/>
                <w:lang w:val="en-US" w:eastAsia="zh-CN"/>
              </w:rPr>
              <w:t>业绩</w:t>
            </w:r>
          </w:p>
        </w:tc>
        <w:tc>
          <w:tcPr>
            <w:tcW w:w="5939" w:type="dxa"/>
            <w:noWrap w:val="0"/>
            <w:vAlign w:val="center"/>
          </w:tcPr>
          <w:p w14:paraId="046BE6B8">
            <w:pPr>
              <w:pStyle w:val="9"/>
              <w:keepNext w:val="0"/>
              <w:keepLines w:val="0"/>
              <w:widowControl/>
              <w:suppressLineNumbers w:val="0"/>
              <w:spacing w:before="0" w:beforeAutospacing="0" w:after="0" w:afterAutospacing="0" w:line="216" w:lineRule="auto"/>
              <w:ind w:left="0" w:right="0" w:firstLine="0" w:firstLineChars="0"/>
              <w:rPr>
                <w:rFonts w:hint="default" w:ascii="宋体" w:eastAsia="宋体" w:cs="宋体"/>
                <w:bCs/>
                <w:color w:val="000000"/>
                <w:sz w:val="21"/>
                <w:szCs w:val="21"/>
                <w:lang w:val="zh-CN"/>
              </w:rPr>
            </w:pPr>
            <w:r>
              <w:rPr>
                <w:rFonts w:hint="default" w:ascii="宋体" w:eastAsia="宋体" w:cs="宋体"/>
                <w:bCs/>
                <w:color w:val="000000"/>
                <w:sz w:val="21"/>
                <w:szCs w:val="21"/>
                <w:lang w:val="zh-CN"/>
              </w:rPr>
              <w:t>2021年1月1日至今</w:t>
            </w:r>
            <w:r>
              <w:rPr>
                <w:rFonts w:hint="eastAsia" w:ascii="宋体" w:eastAsia="宋体" w:cs="宋体"/>
                <w:bCs/>
                <w:color w:val="000000"/>
                <w:sz w:val="21"/>
                <w:szCs w:val="21"/>
                <w:lang w:val="zh-CN"/>
              </w:rPr>
              <w:t>供应商</w:t>
            </w:r>
            <w:r>
              <w:rPr>
                <w:rFonts w:hint="default" w:ascii="宋体" w:eastAsia="宋体" w:cs="宋体"/>
                <w:bCs/>
                <w:color w:val="000000"/>
                <w:sz w:val="21"/>
                <w:szCs w:val="21"/>
                <w:lang w:val="zh-CN"/>
              </w:rPr>
              <w:t>或制造商具有所投设备供货项目业绩【应同时满足以下条件：（1）以</w:t>
            </w:r>
            <w:r>
              <w:rPr>
                <w:rFonts w:hint="eastAsia" w:ascii="宋体" w:eastAsia="宋体" w:cs="宋体"/>
                <w:bCs/>
                <w:color w:val="000000"/>
                <w:sz w:val="21"/>
                <w:szCs w:val="21"/>
                <w:lang w:val="zh-CN"/>
              </w:rPr>
              <w:t>采购</w:t>
            </w:r>
            <w:r>
              <w:rPr>
                <w:rFonts w:hint="default" w:ascii="宋体" w:eastAsia="宋体" w:cs="宋体"/>
                <w:bCs/>
                <w:color w:val="000000"/>
                <w:sz w:val="21"/>
                <w:szCs w:val="21"/>
                <w:lang w:val="zh-CN"/>
              </w:rPr>
              <w:t>名义签订；（2）合同标的至少包括本项目标的】，每具有单个项目的，得1分，满分</w:t>
            </w:r>
            <w:r>
              <w:rPr>
                <w:rFonts w:hint="eastAsia" w:ascii="宋体" w:eastAsia="宋体" w:cs="宋体"/>
                <w:bCs/>
                <w:color w:val="000000"/>
                <w:sz w:val="21"/>
                <w:szCs w:val="21"/>
                <w:lang w:val="en-US" w:eastAsia="zh-CN"/>
              </w:rPr>
              <w:t>6</w:t>
            </w:r>
            <w:r>
              <w:rPr>
                <w:rFonts w:hint="default" w:ascii="宋体" w:eastAsia="宋体" w:cs="宋体"/>
                <w:bCs/>
                <w:color w:val="000000"/>
                <w:sz w:val="21"/>
                <w:szCs w:val="21"/>
                <w:lang w:val="zh-CN"/>
              </w:rPr>
              <w:t>分（提供合同复印件，以签订合同的时间为准，未提供则不得分）</w:t>
            </w:r>
          </w:p>
        </w:tc>
        <w:tc>
          <w:tcPr>
            <w:tcW w:w="809" w:type="dxa"/>
            <w:noWrap w:val="0"/>
            <w:vAlign w:val="center"/>
          </w:tcPr>
          <w:p w14:paraId="225F2FFF">
            <w:pPr>
              <w:tabs>
                <w:tab w:val="decimal" w:pos="315"/>
                <w:tab w:val="left" w:pos="630"/>
              </w:tabs>
              <w:spacing w:line="276" w:lineRule="auto"/>
              <w:jc w:val="center"/>
              <w:rPr>
                <w:rFonts w:hint="default"/>
                <w:lang w:val="en-US" w:eastAsia="zh-CN"/>
              </w:rPr>
            </w:pPr>
            <w:r>
              <w:rPr>
                <w:rFonts w:hint="eastAsia"/>
                <w:lang w:val="en-US" w:eastAsia="zh-CN"/>
              </w:rPr>
              <w:t>6分</w:t>
            </w:r>
          </w:p>
        </w:tc>
      </w:tr>
      <w:tr w14:paraId="5ED4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16" w:type="dxa"/>
            <w:noWrap w:val="0"/>
            <w:vAlign w:val="center"/>
          </w:tcPr>
          <w:p w14:paraId="27E23726">
            <w:pPr>
              <w:widowControl/>
              <w:spacing w:line="360" w:lineRule="auto"/>
              <w:jc w:val="center"/>
              <w:rPr>
                <w:rFonts w:hint="default" w:ascii="宋体" w:hAnsi="宋体" w:cs="宋体"/>
                <w:color w:val="auto"/>
                <w:spacing w:val="15"/>
                <w:kern w:val="0"/>
                <w:szCs w:val="21"/>
                <w:shd w:val="clear" w:color="auto" w:fill="FFFFFF"/>
                <w:lang w:val="en-US" w:eastAsia="zh-CN"/>
              </w:rPr>
            </w:pPr>
            <w:r>
              <w:rPr>
                <w:rFonts w:hint="eastAsia" w:ascii="宋体" w:hAnsi="宋体" w:cs="宋体"/>
                <w:b/>
                <w:bCs/>
                <w:color w:val="auto"/>
                <w:spacing w:val="15"/>
                <w:kern w:val="0"/>
                <w:szCs w:val="21"/>
                <w:shd w:val="clear" w:color="auto" w:fill="FFFFFF"/>
                <w:lang w:val="en-US" w:eastAsia="zh-CN"/>
              </w:rPr>
              <w:t>价格部分</w:t>
            </w:r>
          </w:p>
        </w:tc>
        <w:tc>
          <w:tcPr>
            <w:tcW w:w="1591" w:type="dxa"/>
            <w:noWrap w:val="0"/>
            <w:vAlign w:val="center"/>
          </w:tcPr>
          <w:p w14:paraId="4F9A4584">
            <w:pPr>
              <w:jc w:val="center"/>
              <w:rPr>
                <w:rFonts w:hint="eastAsia"/>
                <w:color w:val="auto"/>
                <w:szCs w:val="21"/>
                <w:highlight w:val="none"/>
              </w:rPr>
            </w:pPr>
            <w:r>
              <w:rPr>
                <w:rFonts w:hint="eastAsia" w:ascii="宋体" w:hAnsi="宋体" w:eastAsia="宋体" w:cs="宋体"/>
                <w:color w:val="auto"/>
                <w:szCs w:val="21"/>
              </w:rPr>
              <w:t>响应报价</w:t>
            </w:r>
          </w:p>
        </w:tc>
        <w:tc>
          <w:tcPr>
            <w:tcW w:w="5939" w:type="dxa"/>
            <w:noWrap w:val="0"/>
            <w:vAlign w:val="top"/>
          </w:tcPr>
          <w:p w14:paraId="42C9F010">
            <w:pPr>
              <w:pStyle w:val="9"/>
              <w:keepNext w:val="0"/>
              <w:keepLines w:val="0"/>
              <w:widowControl/>
              <w:suppressLineNumbers w:val="0"/>
              <w:spacing w:before="0" w:beforeAutospacing="0" w:after="0" w:afterAutospacing="0" w:line="216" w:lineRule="auto"/>
              <w:ind w:left="0" w:right="0" w:firstLine="0" w:firstLineChars="0"/>
              <w:rPr>
                <w:rFonts w:hint="eastAsia" w:ascii="宋体" w:hAnsi="宋体" w:eastAsia="宋体" w:cs="宋体"/>
                <w:bCs/>
                <w:color w:val="000000"/>
                <w:sz w:val="21"/>
                <w:szCs w:val="21"/>
                <w:lang w:val="zh-CN"/>
              </w:rPr>
            </w:pPr>
            <w:r>
              <w:rPr>
                <w:rFonts w:hint="eastAsia" w:ascii="宋体" w:hAnsi="宋体" w:eastAsia="宋体" w:cs="宋体"/>
                <w:bCs/>
                <w:color w:val="000000"/>
                <w:sz w:val="21"/>
                <w:szCs w:val="21"/>
                <w:lang w:val="zh-CN"/>
              </w:rPr>
              <w:t>响应报价得分＝（评审基准价/响应报价）×价格分值</w:t>
            </w:r>
          </w:p>
          <w:p w14:paraId="1C478E48">
            <w:pPr>
              <w:pStyle w:val="9"/>
              <w:keepNext w:val="0"/>
              <w:keepLines w:val="0"/>
              <w:widowControl/>
              <w:suppressLineNumbers w:val="0"/>
              <w:spacing w:before="0" w:beforeAutospacing="0" w:after="0" w:afterAutospacing="0" w:line="216" w:lineRule="auto"/>
              <w:ind w:left="0" w:right="0" w:firstLine="0" w:firstLineChars="0"/>
              <w:rPr>
                <w:rFonts w:hint="eastAsia"/>
                <w:color w:val="auto"/>
                <w:lang w:val="en-US" w:eastAsia="zh-CN"/>
              </w:rPr>
            </w:pPr>
            <w:r>
              <w:rPr>
                <w:rFonts w:hint="eastAsia" w:ascii="宋体" w:hAnsi="宋体" w:eastAsia="宋体" w:cs="宋体"/>
                <w:bCs/>
                <w:color w:val="000000"/>
                <w:sz w:val="21"/>
                <w:szCs w:val="21"/>
                <w:lang w:val="zh-CN"/>
              </w:rPr>
              <w:t>（注：满足采购文件要求且响应价格最低的响应报价为评审基准价。最低报价不是成交的唯一依据。）</w:t>
            </w:r>
          </w:p>
        </w:tc>
        <w:tc>
          <w:tcPr>
            <w:tcW w:w="809" w:type="dxa"/>
            <w:noWrap w:val="0"/>
            <w:vAlign w:val="center"/>
          </w:tcPr>
          <w:p w14:paraId="534C6514">
            <w:pPr>
              <w:spacing w:line="360" w:lineRule="auto"/>
              <w:jc w:val="center"/>
              <w:rPr>
                <w:rFonts w:hint="default" w:ascii="宋体" w:hAnsi="宋体" w:cs="宋体"/>
                <w:color w:val="auto"/>
                <w:szCs w:val="21"/>
                <w:highlight w:val="none"/>
                <w:lang w:val="en-US" w:eastAsia="zh-CN"/>
              </w:rPr>
            </w:pPr>
            <w:r>
              <w:rPr>
                <w:rFonts w:hint="eastAsia"/>
                <w:lang w:val="en-US" w:eastAsia="zh-CN"/>
              </w:rPr>
              <w:t>30</w:t>
            </w:r>
            <w:r>
              <w:rPr>
                <w:rFonts w:hint="eastAsia" w:ascii="宋体" w:hAnsi="宋体" w:cs="宋体"/>
                <w:color w:val="auto"/>
                <w:szCs w:val="21"/>
                <w:highlight w:val="none"/>
                <w:lang w:val="en-US" w:eastAsia="zh-CN"/>
              </w:rPr>
              <w:t>分</w:t>
            </w:r>
          </w:p>
        </w:tc>
      </w:tr>
      <w:tr w14:paraId="638C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46" w:type="dxa"/>
            <w:gridSpan w:val="3"/>
            <w:noWrap w:val="0"/>
            <w:vAlign w:val="center"/>
          </w:tcPr>
          <w:p w14:paraId="7FF07BD5">
            <w:pPr>
              <w:spacing w:line="360" w:lineRule="auto"/>
              <w:jc w:val="center"/>
              <w:rPr>
                <w:rFonts w:ascii="宋体" w:hAnsi="宋体"/>
                <w:color w:val="auto"/>
                <w:szCs w:val="21"/>
              </w:rPr>
            </w:pPr>
            <w:r>
              <w:rPr>
                <w:rFonts w:hint="eastAsia" w:ascii="宋体" w:hAnsi="宋体"/>
                <w:color w:val="auto"/>
                <w:szCs w:val="21"/>
              </w:rPr>
              <w:t>合计</w:t>
            </w:r>
          </w:p>
        </w:tc>
        <w:tc>
          <w:tcPr>
            <w:tcW w:w="809" w:type="dxa"/>
            <w:noWrap w:val="0"/>
            <w:vAlign w:val="center"/>
          </w:tcPr>
          <w:p w14:paraId="46E224E5">
            <w:pPr>
              <w:spacing w:line="360" w:lineRule="auto"/>
              <w:jc w:val="center"/>
              <w:rPr>
                <w:rFonts w:hint="eastAsia" w:ascii="宋体" w:hAnsi="宋体" w:eastAsia="宋体"/>
                <w:color w:val="auto"/>
                <w:lang w:eastAsia="zh-CN"/>
              </w:rPr>
            </w:pPr>
            <w:r>
              <w:rPr>
                <w:rFonts w:hint="eastAsia" w:ascii="Times New Roman" w:hAnsi="Times New Roman" w:eastAsia="宋体" w:cs="Times New Roman"/>
                <w:lang w:val="en-US" w:eastAsia="zh-CN"/>
              </w:rPr>
              <w:t>100</w:t>
            </w:r>
            <w:r>
              <w:rPr>
                <w:rFonts w:hint="eastAsia" w:ascii="宋体" w:hAnsi="宋体"/>
                <w:color w:val="auto"/>
                <w:lang w:eastAsia="zh-CN"/>
              </w:rPr>
              <w:t>分</w:t>
            </w:r>
          </w:p>
        </w:tc>
      </w:tr>
      <w:bookmarkEnd w:id="0"/>
    </w:tbl>
    <w:p w14:paraId="62D23426">
      <w:pPr>
        <w:spacing w:line="360" w:lineRule="auto"/>
        <w:ind w:firstLine="420" w:firstLineChars="2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000000"/>
    <w:rsid w:val="00280D3D"/>
    <w:rsid w:val="004F7D60"/>
    <w:rsid w:val="005A2D64"/>
    <w:rsid w:val="00726F79"/>
    <w:rsid w:val="00CD0333"/>
    <w:rsid w:val="00E46AD2"/>
    <w:rsid w:val="00EB1C0E"/>
    <w:rsid w:val="0116312F"/>
    <w:rsid w:val="022632F0"/>
    <w:rsid w:val="03267819"/>
    <w:rsid w:val="045D1075"/>
    <w:rsid w:val="05BD6377"/>
    <w:rsid w:val="06E72E78"/>
    <w:rsid w:val="077B0190"/>
    <w:rsid w:val="07AB423D"/>
    <w:rsid w:val="07F53FC7"/>
    <w:rsid w:val="085C484A"/>
    <w:rsid w:val="08CD207F"/>
    <w:rsid w:val="09570229"/>
    <w:rsid w:val="09CF031F"/>
    <w:rsid w:val="0A3E104C"/>
    <w:rsid w:val="0A621193"/>
    <w:rsid w:val="0AA35A8D"/>
    <w:rsid w:val="0AC27E84"/>
    <w:rsid w:val="0ADF6709"/>
    <w:rsid w:val="0B031FF8"/>
    <w:rsid w:val="0B2A7D51"/>
    <w:rsid w:val="0B330D82"/>
    <w:rsid w:val="0B5252E0"/>
    <w:rsid w:val="0B5915B2"/>
    <w:rsid w:val="0BF63EFD"/>
    <w:rsid w:val="0C344DB1"/>
    <w:rsid w:val="0C871385"/>
    <w:rsid w:val="0D7C5016"/>
    <w:rsid w:val="0E3A4E39"/>
    <w:rsid w:val="0E5651F6"/>
    <w:rsid w:val="0E9B1118"/>
    <w:rsid w:val="0F0C1504"/>
    <w:rsid w:val="0FB36144"/>
    <w:rsid w:val="10001543"/>
    <w:rsid w:val="100B407B"/>
    <w:rsid w:val="113F222E"/>
    <w:rsid w:val="11CC5193"/>
    <w:rsid w:val="120450DA"/>
    <w:rsid w:val="12055A41"/>
    <w:rsid w:val="12C9238F"/>
    <w:rsid w:val="13157E18"/>
    <w:rsid w:val="135E0B3D"/>
    <w:rsid w:val="138A175B"/>
    <w:rsid w:val="14121DAC"/>
    <w:rsid w:val="142E20E6"/>
    <w:rsid w:val="15396F94"/>
    <w:rsid w:val="16012AC5"/>
    <w:rsid w:val="16AA0397"/>
    <w:rsid w:val="16B167CC"/>
    <w:rsid w:val="170610F8"/>
    <w:rsid w:val="17070B85"/>
    <w:rsid w:val="172211AC"/>
    <w:rsid w:val="18664ECD"/>
    <w:rsid w:val="198164B4"/>
    <w:rsid w:val="1A710F7F"/>
    <w:rsid w:val="1CA90EA4"/>
    <w:rsid w:val="1CB17D58"/>
    <w:rsid w:val="1CEB5018"/>
    <w:rsid w:val="1D090252"/>
    <w:rsid w:val="1D4F1A4B"/>
    <w:rsid w:val="2000702C"/>
    <w:rsid w:val="20531559"/>
    <w:rsid w:val="20E47C7B"/>
    <w:rsid w:val="21251678"/>
    <w:rsid w:val="21507B40"/>
    <w:rsid w:val="21636166"/>
    <w:rsid w:val="2182320C"/>
    <w:rsid w:val="21B73ED8"/>
    <w:rsid w:val="22291947"/>
    <w:rsid w:val="22596E88"/>
    <w:rsid w:val="22F524FB"/>
    <w:rsid w:val="230B0532"/>
    <w:rsid w:val="2323226F"/>
    <w:rsid w:val="23234A89"/>
    <w:rsid w:val="23955CDE"/>
    <w:rsid w:val="23E83B9F"/>
    <w:rsid w:val="24406F1A"/>
    <w:rsid w:val="24791DF7"/>
    <w:rsid w:val="25A11649"/>
    <w:rsid w:val="25A8494F"/>
    <w:rsid w:val="25CD5C03"/>
    <w:rsid w:val="27B91B08"/>
    <w:rsid w:val="27EA6359"/>
    <w:rsid w:val="29CC4423"/>
    <w:rsid w:val="29D67FA4"/>
    <w:rsid w:val="2A2B739C"/>
    <w:rsid w:val="2A432D46"/>
    <w:rsid w:val="2A7169DD"/>
    <w:rsid w:val="2A9F7BB6"/>
    <w:rsid w:val="2ACD0453"/>
    <w:rsid w:val="2AEF13BE"/>
    <w:rsid w:val="2D0F545C"/>
    <w:rsid w:val="2D216834"/>
    <w:rsid w:val="2DB84096"/>
    <w:rsid w:val="2E3B05C3"/>
    <w:rsid w:val="2E8B61A6"/>
    <w:rsid w:val="2EAB0AAB"/>
    <w:rsid w:val="2F1E2C53"/>
    <w:rsid w:val="300915AF"/>
    <w:rsid w:val="304C1E1A"/>
    <w:rsid w:val="30D140CD"/>
    <w:rsid w:val="31BC4D7D"/>
    <w:rsid w:val="32B85545"/>
    <w:rsid w:val="32FC4A8D"/>
    <w:rsid w:val="32FC6616"/>
    <w:rsid w:val="330557AD"/>
    <w:rsid w:val="33A672FD"/>
    <w:rsid w:val="34403A44"/>
    <w:rsid w:val="346534DC"/>
    <w:rsid w:val="347E456C"/>
    <w:rsid w:val="352761F5"/>
    <w:rsid w:val="35EA1EB9"/>
    <w:rsid w:val="364D069A"/>
    <w:rsid w:val="36CD5A73"/>
    <w:rsid w:val="37AD6244"/>
    <w:rsid w:val="37C568B0"/>
    <w:rsid w:val="380A3FE7"/>
    <w:rsid w:val="381454F7"/>
    <w:rsid w:val="38370059"/>
    <w:rsid w:val="391159AF"/>
    <w:rsid w:val="3A1A6AE5"/>
    <w:rsid w:val="3A2636DC"/>
    <w:rsid w:val="3A9871A1"/>
    <w:rsid w:val="3ABB3E24"/>
    <w:rsid w:val="3BC136BC"/>
    <w:rsid w:val="3BDE4E43"/>
    <w:rsid w:val="3C2E0CC5"/>
    <w:rsid w:val="3CD54F9F"/>
    <w:rsid w:val="3CE33BBF"/>
    <w:rsid w:val="3DB2047D"/>
    <w:rsid w:val="3E141CB2"/>
    <w:rsid w:val="3E570EC6"/>
    <w:rsid w:val="3F283A52"/>
    <w:rsid w:val="3F6D1374"/>
    <w:rsid w:val="4024246B"/>
    <w:rsid w:val="40607ABC"/>
    <w:rsid w:val="40640ABA"/>
    <w:rsid w:val="413A60AB"/>
    <w:rsid w:val="43C8770C"/>
    <w:rsid w:val="45AC718B"/>
    <w:rsid w:val="45ED50AE"/>
    <w:rsid w:val="45F95539"/>
    <w:rsid w:val="469E110E"/>
    <w:rsid w:val="479C6D8B"/>
    <w:rsid w:val="48364026"/>
    <w:rsid w:val="488241D3"/>
    <w:rsid w:val="49D62A28"/>
    <w:rsid w:val="4A9C1907"/>
    <w:rsid w:val="4AF97CB6"/>
    <w:rsid w:val="4B6C4CC7"/>
    <w:rsid w:val="4BCB40E3"/>
    <w:rsid w:val="4BE5617B"/>
    <w:rsid w:val="4CA330E7"/>
    <w:rsid w:val="4CB07713"/>
    <w:rsid w:val="4CCD0706"/>
    <w:rsid w:val="4CF5766A"/>
    <w:rsid w:val="4CF87DD7"/>
    <w:rsid w:val="4DE84AD8"/>
    <w:rsid w:val="4E70527E"/>
    <w:rsid w:val="4E9B4F76"/>
    <w:rsid w:val="4EA10947"/>
    <w:rsid w:val="4F700B2E"/>
    <w:rsid w:val="51120D76"/>
    <w:rsid w:val="51D10F25"/>
    <w:rsid w:val="528E29ED"/>
    <w:rsid w:val="52901F11"/>
    <w:rsid w:val="529B480F"/>
    <w:rsid w:val="52F83F51"/>
    <w:rsid w:val="530C74BB"/>
    <w:rsid w:val="53121B8E"/>
    <w:rsid w:val="53C47D96"/>
    <w:rsid w:val="54B6171E"/>
    <w:rsid w:val="55706356"/>
    <w:rsid w:val="55D30AF4"/>
    <w:rsid w:val="565F4ABA"/>
    <w:rsid w:val="568961D0"/>
    <w:rsid w:val="5733709E"/>
    <w:rsid w:val="574A05B2"/>
    <w:rsid w:val="574A1CB5"/>
    <w:rsid w:val="579059CE"/>
    <w:rsid w:val="57C55E8A"/>
    <w:rsid w:val="57F66416"/>
    <w:rsid w:val="58937570"/>
    <w:rsid w:val="58DF2F7C"/>
    <w:rsid w:val="59E167D6"/>
    <w:rsid w:val="5A183E5F"/>
    <w:rsid w:val="5AF8598C"/>
    <w:rsid w:val="5B1213E7"/>
    <w:rsid w:val="5B231A45"/>
    <w:rsid w:val="5BB3149D"/>
    <w:rsid w:val="5C594DF3"/>
    <w:rsid w:val="5C6202FE"/>
    <w:rsid w:val="5D0766E2"/>
    <w:rsid w:val="5D5B20F3"/>
    <w:rsid w:val="5D5F7676"/>
    <w:rsid w:val="5DAB3A7E"/>
    <w:rsid w:val="5DC46F3E"/>
    <w:rsid w:val="5E525F9E"/>
    <w:rsid w:val="5E58282F"/>
    <w:rsid w:val="5E9216C5"/>
    <w:rsid w:val="5EC23ABB"/>
    <w:rsid w:val="5ECC67C9"/>
    <w:rsid w:val="5F075202"/>
    <w:rsid w:val="5F571ABE"/>
    <w:rsid w:val="5FA31F5D"/>
    <w:rsid w:val="5FF852C4"/>
    <w:rsid w:val="608D6F8C"/>
    <w:rsid w:val="60A54AAB"/>
    <w:rsid w:val="60B06A3A"/>
    <w:rsid w:val="60C8402D"/>
    <w:rsid w:val="62031A89"/>
    <w:rsid w:val="62061579"/>
    <w:rsid w:val="621C6FEF"/>
    <w:rsid w:val="62E775FD"/>
    <w:rsid w:val="62EA49F7"/>
    <w:rsid w:val="633B400F"/>
    <w:rsid w:val="63634DBE"/>
    <w:rsid w:val="645962D8"/>
    <w:rsid w:val="64942E0C"/>
    <w:rsid w:val="65683BA3"/>
    <w:rsid w:val="65D900EA"/>
    <w:rsid w:val="66A90E26"/>
    <w:rsid w:val="68332C5A"/>
    <w:rsid w:val="690B6A33"/>
    <w:rsid w:val="6ADF1456"/>
    <w:rsid w:val="6B0F149F"/>
    <w:rsid w:val="6B1D49E9"/>
    <w:rsid w:val="6C663340"/>
    <w:rsid w:val="6CCA5F8C"/>
    <w:rsid w:val="6D5D0BE7"/>
    <w:rsid w:val="6D61071B"/>
    <w:rsid w:val="6D9863E0"/>
    <w:rsid w:val="6E42305D"/>
    <w:rsid w:val="6F286276"/>
    <w:rsid w:val="6F413BF1"/>
    <w:rsid w:val="6F433E0D"/>
    <w:rsid w:val="6F490CF7"/>
    <w:rsid w:val="6F491DD6"/>
    <w:rsid w:val="6FC54822"/>
    <w:rsid w:val="6FD21F6F"/>
    <w:rsid w:val="70301438"/>
    <w:rsid w:val="70CC398E"/>
    <w:rsid w:val="70EF3AEB"/>
    <w:rsid w:val="71266A01"/>
    <w:rsid w:val="716D2988"/>
    <w:rsid w:val="72801080"/>
    <w:rsid w:val="72A262B6"/>
    <w:rsid w:val="72C74D55"/>
    <w:rsid w:val="72C87D81"/>
    <w:rsid w:val="72CD743C"/>
    <w:rsid w:val="735A02FF"/>
    <w:rsid w:val="73644F94"/>
    <w:rsid w:val="739E1612"/>
    <w:rsid w:val="74F160B9"/>
    <w:rsid w:val="76790114"/>
    <w:rsid w:val="767A253F"/>
    <w:rsid w:val="76E23F0B"/>
    <w:rsid w:val="77D2097C"/>
    <w:rsid w:val="78281DF2"/>
    <w:rsid w:val="785C061A"/>
    <w:rsid w:val="78743289"/>
    <w:rsid w:val="7932248D"/>
    <w:rsid w:val="79366790"/>
    <w:rsid w:val="795D7670"/>
    <w:rsid w:val="79E077E8"/>
    <w:rsid w:val="7A416DDF"/>
    <w:rsid w:val="7A6D7F90"/>
    <w:rsid w:val="7A97325F"/>
    <w:rsid w:val="7BBC35D3"/>
    <w:rsid w:val="7C023E77"/>
    <w:rsid w:val="7C232FFC"/>
    <w:rsid w:val="7C8415C1"/>
    <w:rsid w:val="7DDD71DA"/>
    <w:rsid w:val="7E114FDF"/>
    <w:rsid w:val="7E171E3C"/>
    <w:rsid w:val="7E3E26F6"/>
    <w:rsid w:val="7F51685D"/>
    <w:rsid w:val="7F8C2C66"/>
    <w:rsid w:val="7F945FBF"/>
    <w:rsid w:val="7FAE00C1"/>
    <w:rsid w:val="FED6F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60" w:lineRule="exact"/>
    </w:pPr>
    <w:rPr>
      <w:rFonts w:ascii="宋体" w:hAnsi="宋体" w:eastAsia="宋体"/>
      <w:sz w:val="21"/>
    </w:rPr>
  </w:style>
  <w:style w:type="paragraph" w:styleId="3">
    <w:name w:val="Normal Indent"/>
    <w:basedOn w:val="1"/>
    <w:qFormat/>
    <w:uiPriority w:val="0"/>
    <w:pPr>
      <w:widowControl w:val="0"/>
      <w:ind w:firstLine="420"/>
      <w:jc w:val="both"/>
    </w:pPr>
    <w:rPr>
      <w:kern w:val="2"/>
    </w:rPr>
  </w:style>
  <w:style w:type="paragraph" w:styleId="4">
    <w:name w:val="toc 5"/>
    <w:basedOn w:val="1"/>
    <w:next w:val="1"/>
    <w:qFormat/>
    <w:uiPriority w:val="0"/>
    <w:pPr>
      <w:ind w:left="840"/>
      <w:jc w:val="left"/>
    </w:pPr>
    <w:rPr>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表格文字"/>
    <w:basedOn w:val="1"/>
    <w:qFormat/>
    <w:uiPriority w:val="0"/>
    <w:pPr>
      <w:spacing w:before="25" w:beforeLines="0" w:after="25" w:afterLines="0" w:line="240" w:lineRule="auto"/>
      <w:ind w:firstLine="0"/>
      <w:jc w:val="left"/>
    </w:pPr>
    <w:rPr>
      <w:bCs/>
      <w:spacing w:val="10"/>
      <w:kern w:val="0"/>
      <w:sz w:val="24"/>
    </w:rPr>
  </w:style>
  <w:style w:type="paragraph" w:customStyle="1" w:styleId="9">
    <w:name w:val="正文缩进2格"/>
    <w:basedOn w:val="1"/>
    <w:qFormat/>
    <w:uiPriority w:val="0"/>
    <w:pPr>
      <w:widowControl w:val="0"/>
      <w:spacing w:line="600" w:lineRule="exact"/>
      <w:ind w:firstLine="639" w:firstLineChars="206"/>
      <w:jc w:val="both"/>
    </w:pPr>
    <w:rPr>
      <w:rFonts w:ascii="仿宋_GB2312" w:hAnsi="宋体" w:eastAsia="仿宋_GB2312"/>
      <w:kern w:val="2"/>
      <w:sz w:val="3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876</Words>
  <Characters>896</Characters>
  <Lines>0</Lines>
  <Paragraphs>0</Paragraphs>
  <TotalTime>2</TotalTime>
  <ScaleCrop>false</ScaleCrop>
  <LinksUpToDate>false</LinksUpToDate>
  <CharactersWithSpaces>902</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2024-07-26T16:44:00Z</dcterms:created>
  <dc:creator>Administrator</dc:creator>
  <cp:lastModifiedBy>user</cp:lastModifiedBy>
  <dcterms:modified xsi:type="dcterms:W3CDTF">2024-12-06T09:17:20Z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B5F4F6DF7D924E4C8CBDA1EEFEC1EEA0_13</vt:lpwstr>
  </property>
</Properties>
</file>