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4809A">
      <w:pPr>
        <w:pStyle w:val="2"/>
        <w:jc w:val="both"/>
        <w:rPr>
          <w:color w:val="000000"/>
        </w:rPr>
      </w:pPr>
      <w:bookmarkStart w:id="1" w:name="_GoBack"/>
      <w:bookmarkEnd w:id="1"/>
      <w:r>
        <w:rPr>
          <w:rFonts w:hint="eastAsia"/>
          <w:color w:val="000000"/>
        </w:rPr>
        <w:t>附件</w:t>
      </w:r>
      <w:r>
        <w:rPr>
          <w:rFonts w:hint="eastAsia"/>
          <w:color w:val="000000"/>
          <w:lang w:val="en-US" w:eastAsia="zh-CN"/>
        </w:rPr>
        <w:t>4</w:t>
      </w:r>
      <w:r>
        <w:rPr>
          <w:rFonts w:hint="eastAsia"/>
          <w:color w:val="000000"/>
        </w:rPr>
        <w:t>：</w:t>
      </w:r>
    </w:p>
    <w:p w14:paraId="6A6EF50E">
      <w:pPr>
        <w:spacing w:line="360" w:lineRule="auto"/>
        <w:ind w:firstLine="602" w:firstLineChars="200"/>
        <w:jc w:val="center"/>
        <w:rPr>
          <w:rFonts w:hint="eastAsia" w:ascii="宋体" w:hAnsi="宋体" w:cs="宋体"/>
          <w:b/>
          <w:bCs/>
          <w:sz w:val="30"/>
          <w:szCs w:val="30"/>
          <w:lang w:eastAsia="zh-CN"/>
        </w:rPr>
      </w:pPr>
      <w:r>
        <w:rPr>
          <w:rFonts w:hint="eastAsia" w:ascii="宋体" w:hAnsi="宋体" w:cs="宋体"/>
          <w:b/>
          <w:bCs/>
          <w:sz w:val="30"/>
          <w:szCs w:val="30"/>
          <w:lang w:val="en-US" w:eastAsia="zh-CN"/>
        </w:rPr>
        <w:t>评审方案</w:t>
      </w:r>
    </w:p>
    <w:p w14:paraId="2A91E54C">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1、评审步骤：</w:t>
      </w:r>
      <w:r>
        <w:rPr>
          <w:rFonts w:hint="eastAsia" w:ascii="宋体" w:hAnsi="宋体"/>
          <w:b w:val="0"/>
          <w:bCs w:val="0"/>
          <w:szCs w:val="21"/>
          <w:highlight w:val="none"/>
          <w:lang w:val="en-US" w:eastAsia="zh-CN"/>
        </w:rPr>
        <w:t>评审小组对响应文件的评审分为初审（资格性和符合性审查，详见响应文件模版参考内容）和详细评审，初审通过才进入详细评审环节。</w:t>
      </w:r>
    </w:p>
    <w:p w14:paraId="4FF7DD8B">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2、详细评审时，根据评分表的内容，评审小组各成员应当独立对每个有效响应的文件进行评价、打分，从商务技术和价格方面进行综合评审。各成员评分的算术平均值即为该供应商的商务技术得分。得分按四舍五入规则，精确到小数点后2位。</w:t>
      </w:r>
    </w:p>
    <w:p w14:paraId="69145689">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3、评审总得分＝商务技术得分+响应报价得分</w:t>
      </w:r>
      <w:r>
        <w:rPr>
          <w:rFonts w:hint="eastAsia" w:ascii="宋体" w:hAnsi="宋体"/>
          <w:b w:val="0"/>
          <w:bCs w:val="0"/>
          <w:szCs w:val="21"/>
          <w:highlight w:val="none"/>
          <w:lang w:val="en-US" w:eastAsia="zh-CN"/>
        </w:rPr>
        <w:t>　　</w:t>
      </w:r>
    </w:p>
    <w:p w14:paraId="7AAEBB30">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4、评审小组按评审得分由高到低进行排序，排名第一的推荐为拟成交供应商，排名第二的供应商为第二成交候选人，排名第三的供应商为第三成交候选人,依此类推。出现综合总得分并列时，报价总价低的供应商名次靠前；若综合得分和报价总价都相同，按技术得分高的供应商名次靠前；若综合得分、报价总价和技术得分都相同，由全体评委投票确定名次。</w:t>
      </w:r>
    </w:p>
    <w:p w14:paraId="76747021">
      <w:pPr>
        <w:spacing w:line="360" w:lineRule="auto"/>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5、响应文件的澄清</w:t>
      </w:r>
    </w:p>
    <w:p w14:paraId="4B454A2C">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评审期间，对响应文件中含义不明确、同类问题表述不一致或者有明显文字和计算错误的内容，评审小组可以书面形式（应当由评审小组专家签字）要求供应商作出必要的澄清、说明或者纠正，但不得允许供应商对响应报价等实质性内容做任何更改。供应商的澄清、说明或者纠正应当采用书面形式，由其授权的代表签字，并不得超出响应文件的范围或者改变响应文件的实质性内容。有关澄清的答复均应由供应商的法定代表人或授权代表签名的书面形式作出。供应商的澄清文件是其响应文件的组成部分。</w:t>
      </w:r>
    </w:p>
    <w:p w14:paraId="5D96778C">
      <w:pPr>
        <w:numPr>
          <w:ilvl w:val="0"/>
          <w:numId w:val="1"/>
        </w:num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成交供应商未向采购人来书面函退出或违反采购文件规定的，则采购人视为该成交供应商放弃成交资格。采购人可以按照评审报告的成交候选人名单(排名)顺序，确定下一候选人为成交供应商，也可以重新开展采购活动。</w:t>
      </w:r>
    </w:p>
    <w:p w14:paraId="30DBEF87">
      <w:pPr>
        <w:pStyle w:val="2"/>
        <w:numPr>
          <w:ilvl w:val="0"/>
          <w:numId w:val="0"/>
        </w:numPr>
        <w:rPr>
          <w:rFonts w:hint="eastAsia"/>
        </w:rPr>
      </w:pPr>
    </w:p>
    <w:p w14:paraId="2C554CE7">
      <w:pPr>
        <w:pStyle w:val="4"/>
        <w:ind w:left="0"/>
        <w:jc w:val="center"/>
        <w:rPr>
          <w:rFonts w:hint="default"/>
          <w:sz w:val="28"/>
          <w:szCs w:val="28"/>
          <w:lang w:val="en-US" w:eastAsia="zh-CN"/>
        </w:rPr>
      </w:pPr>
      <w:r>
        <w:rPr>
          <w:rFonts w:hint="eastAsia" w:ascii="宋体" w:hAnsi="宋体" w:cs="宋体"/>
          <w:b/>
          <w:bCs/>
          <w:sz w:val="28"/>
          <w:szCs w:val="28"/>
          <w:lang w:val="en-US" w:eastAsia="zh-CN"/>
        </w:rPr>
        <w:t>附表：</w:t>
      </w:r>
      <w:r>
        <w:rPr>
          <w:rFonts w:hint="eastAsia" w:ascii="宋体" w:hAnsi="宋体" w:cs="宋体"/>
          <w:b/>
          <w:bCs/>
          <w:sz w:val="28"/>
          <w:szCs w:val="28"/>
          <w:lang w:eastAsia="zh-CN"/>
        </w:rPr>
        <w:t>中山市黄圃人民医院空气消毒设备维保服务</w:t>
      </w:r>
      <w:r>
        <w:rPr>
          <w:rFonts w:hint="eastAsia" w:ascii="宋体" w:hAnsi="宋体" w:eastAsia="宋体" w:cs="宋体"/>
          <w:b/>
          <w:bCs/>
          <w:sz w:val="28"/>
          <w:szCs w:val="28"/>
        </w:rPr>
        <w:t>评分表</w:t>
      </w:r>
    </w:p>
    <w:tbl>
      <w:tblPr>
        <w:tblStyle w:val="6"/>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087"/>
        <w:gridCol w:w="6443"/>
        <w:gridCol w:w="809"/>
      </w:tblGrid>
      <w:tr w14:paraId="2F05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087" w:type="dxa"/>
            <w:noWrap w:val="0"/>
            <w:vAlign w:val="center"/>
          </w:tcPr>
          <w:p w14:paraId="35C0BAB8">
            <w:pPr>
              <w:pStyle w:val="5"/>
              <w:tabs>
                <w:tab w:val="clear" w:pos="4153"/>
                <w:tab w:val="clear" w:pos="8306"/>
              </w:tabs>
              <w:snapToGrid/>
              <w:spacing w:line="360" w:lineRule="auto"/>
              <w:jc w:val="center"/>
              <w:rPr>
                <w:rFonts w:hint="eastAsia" w:ascii="宋体" w:hAnsi="宋体" w:cs="宋体"/>
                <w:b/>
                <w:bCs/>
                <w:color w:val="auto"/>
                <w:sz w:val="21"/>
                <w:szCs w:val="21"/>
              </w:rPr>
            </w:pPr>
            <w:bookmarkStart w:id="0" w:name="OLE_LINK2"/>
            <w:r>
              <w:rPr>
                <w:rFonts w:hint="eastAsia" w:ascii="宋体" w:hAnsi="宋体" w:cs="宋体"/>
                <w:b/>
                <w:bCs/>
                <w:color w:val="auto"/>
                <w:sz w:val="21"/>
                <w:szCs w:val="21"/>
                <w:lang w:eastAsia="zh-CN"/>
              </w:rPr>
              <w:t>项目</w:t>
            </w:r>
          </w:p>
        </w:tc>
        <w:tc>
          <w:tcPr>
            <w:tcW w:w="1087" w:type="dxa"/>
            <w:noWrap w:val="0"/>
            <w:vAlign w:val="center"/>
          </w:tcPr>
          <w:p w14:paraId="2110C30A">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评审因素</w:t>
            </w:r>
          </w:p>
        </w:tc>
        <w:tc>
          <w:tcPr>
            <w:tcW w:w="6443" w:type="dxa"/>
            <w:noWrap w:val="0"/>
            <w:vAlign w:val="center"/>
          </w:tcPr>
          <w:p w14:paraId="7AE9B091">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评分细则</w:t>
            </w:r>
          </w:p>
        </w:tc>
        <w:tc>
          <w:tcPr>
            <w:tcW w:w="809" w:type="dxa"/>
            <w:noWrap w:val="0"/>
            <w:vAlign w:val="center"/>
          </w:tcPr>
          <w:p w14:paraId="72E11FE4">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分值</w:t>
            </w:r>
          </w:p>
        </w:tc>
      </w:tr>
      <w:tr w14:paraId="24B3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vMerge w:val="restart"/>
            <w:noWrap w:val="0"/>
            <w:vAlign w:val="center"/>
          </w:tcPr>
          <w:p w14:paraId="7FF74C2E">
            <w:pPr>
              <w:tabs>
                <w:tab w:val="decimal" w:pos="315"/>
                <w:tab w:val="left" w:pos="630"/>
              </w:tabs>
              <w:spacing w:line="276" w:lineRule="auto"/>
              <w:jc w:val="center"/>
              <w:rPr>
                <w:rFonts w:hint="eastAsia"/>
                <w:lang w:eastAsia="zh-CN"/>
              </w:rPr>
            </w:pPr>
            <w:r>
              <w:rPr>
                <w:b/>
                <w:bCs/>
              </w:rPr>
              <w:t>商务</w:t>
            </w:r>
            <w:r>
              <w:rPr>
                <w:rFonts w:hint="eastAsia"/>
                <w:b/>
                <w:bCs/>
                <w:lang w:eastAsia="zh-CN"/>
              </w:rPr>
              <w:t>技术</w:t>
            </w:r>
            <w:r>
              <w:rPr>
                <w:b/>
                <w:bCs/>
              </w:rPr>
              <w:t>部分</w:t>
            </w:r>
          </w:p>
        </w:tc>
        <w:tc>
          <w:tcPr>
            <w:tcW w:w="1087" w:type="dxa"/>
            <w:noWrap w:val="0"/>
            <w:vAlign w:val="center"/>
          </w:tcPr>
          <w:p w14:paraId="3B0DE1B7">
            <w:pPr>
              <w:spacing w:line="360" w:lineRule="auto"/>
              <w:jc w:val="center"/>
              <w:rPr>
                <w:rFonts w:hint="eastAsia" w:ascii="宋体" w:hAnsi="宋体"/>
                <w:color w:val="auto"/>
                <w:szCs w:val="21"/>
                <w:highlight w:val="none"/>
              </w:rPr>
            </w:pPr>
            <w:r>
              <w:rPr>
                <w:rFonts w:hint="eastAsia" w:ascii="宋体" w:hAnsi="宋体" w:cs="宋体"/>
                <w:color w:val="auto"/>
                <w:highlight w:val="none"/>
                <w:lang w:val="zh-CN"/>
              </w:rPr>
              <w:t>重要</w:t>
            </w:r>
            <w:r>
              <w:rPr>
                <w:rFonts w:hint="eastAsia" w:ascii="宋体" w:hAnsi="宋体"/>
                <w:color w:val="auto"/>
                <w:highlight w:val="none"/>
                <w:lang w:eastAsia="zh-CN"/>
              </w:rPr>
              <w:t>服务</w:t>
            </w:r>
            <w:r>
              <w:rPr>
                <w:rFonts w:hint="eastAsia" w:ascii="宋体" w:hAnsi="宋体" w:cs="宋体"/>
                <w:color w:val="auto"/>
                <w:highlight w:val="none"/>
                <w:lang w:val="zh-CN"/>
              </w:rPr>
              <w:t>条款响应程度</w:t>
            </w:r>
          </w:p>
        </w:tc>
        <w:tc>
          <w:tcPr>
            <w:tcW w:w="6443" w:type="dxa"/>
            <w:noWrap w:val="0"/>
            <w:vAlign w:val="center"/>
          </w:tcPr>
          <w:p w14:paraId="319911F6">
            <w:pPr>
              <w:spacing w:line="400" w:lineRule="exact"/>
              <w:ind w:firstLine="0"/>
              <w:jc w:val="left"/>
              <w:rPr>
                <w:rFonts w:hint="eastAsia" w:ascii="宋体" w:hAnsi="宋体" w:eastAsia="宋体" w:cs="宋体"/>
                <w:bCs/>
                <w:color w:val="000000"/>
                <w:kern w:val="2"/>
                <w:sz w:val="21"/>
                <w:szCs w:val="21"/>
                <w:lang w:val="zh-CN" w:eastAsia="zh-CN" w:bidi="ar-SA"/>
              </w:rPr>
            </w:pPr>
            <w:r>
              <w:rPr>
                <w:rFonts w:hint="eastAsia" w:ascii="宋体" w:cs="宋体"/>
                <w:kern w:val="0"/>
                <w:szCs w:val="21"/>
              </w:rPr>
              <w:t>对</w:t>
            </w:r>
            <w:r>
              <w:rPr>
                <w:rFonts w:hint="eastAsia" w:ascii="宋体" w:cs="宋体"/>
                <w:kern w:val="0"/>
                <w:szCs w:val="21"/>
                <w:lang w:eastAsia="zh-CN"/>
              </w:rPr>
              <w:t>用户需求书二、技术</w:t>
            </w:r>
            <w:r>
              <w:rPr>
                <w:rFonts w:hint="eastAsia" w:ascii="宋体" w:cs="宋体"/>
                <w:kern w:val="0"/>
                <w:szCs w:val="21"/>
              </w:rPr>
              <w:t>要求中带▲号的重要技术参数（共</w:t>
            </w:r>
            <w:r>
              <w:rPr>
                <w:rFonts w:hint="eastAsia" w:ascii="宋体" w:cs="宋体"/>
                <w:kern w:val="0"/>
                <w:szCs w:val="21"/>
                <w:lang w:val="en-US" w:eastAsia="zh-CN"/>
              </w:rPr>
              <w:t>1</w:t>
            </w:r>
            <w:r>
              <w:rPr>
                <w:rFonts w:hint="eastAsia" w:ascii="宋体" w:cs="宋体"/>
                <w:kern w:val="0"/>
                <w:szCs w:val="21"/>
              </w:rPr>
              <w:t>项）要求的满足程度进行评审。全部完全响应或优于要求的，得</w:t>
            </w:r>
            <w:r>
              <w:rPr>
                <w:rFonts w:hint="eastAsia" w:ascii="宋体" w:cs="宋体"/>
                <w:kern w:val="0"/>
                <w:szCs w:val="21"/>
                <w:lang w:val="en-US" w:eastAsia="zh-CN"/>
              </w:rPr>
              <w:t>6</w:t>
            </w:r>
            <w:r>
              <w:rPr>
                <w:rFonts w:hint="eastAsia" w:ascii="宋体" w:cs="宋体"/>
                <w:kern w:val="0"/>
                <w:szCs w:val="21"/>
              </w:rPr>
              <w:t>分；每负偏离一项</w:t>
            </w:r>
            <w:r>
              <w:rPr>
                <w:rFonts w:hint="eastAsia" w:ascii="宋体" w:cs="宋体"/>
                <w:color w:val="auto"/>
                <w:kern w:val="0"/>
                <w:szCs w:val="21"/>
              </w:rPr>
              <w:t>扣</w:t>
            </w:r>
            <w:r>
              <w:rPr>
                <w:rFonts w:hint="eastAsia" w:ascii="宋体" w:cs="宋体"/>
                <w:color w:val="auto"/>
                <w:kern w:val="0"/>
                <w:szCs w:val="21"/>
                <w:lang w:val="en-US" w:eastAsia="zh-CN"/>
              </w:rPr>
              <w:t>6</w:t>
            </w:r>
            <w:r>
              <w:rPr>
                <w:rFonts w:hint="eastAsia" w:ascii="宋体" w:cs="宋体"/>
                <w:kern w:val="0"/>
                <w:szCs w:val="21"/>
              </w:rPr>
              <w:t>分，最低得0分。</w:t>
            </w:r>
          </w:p>
        </w:tc>
        <w:tc>
          <w:tcPr>
            <w:tcW w:w="809" w:type="dxa"/>
            <w:noWrap w:val="0"/>
            <w:vAlign w:val="center"/>
          </w:tcPr>
          <w:p w14:paraId="2AD2AA9C">
            <w:pPr>
              <w:pStyle w:val="5"/>
              <w:tabs>
                <w:tab w:val="clear" w:pos="4153"/>
                <w:tab w:val="clear" w:pos="8306"/>
              </w:tabs>
              <w:snapToGrid/>
              <w:spacing w:line="360" w:lineRule="auto"/>
              <w:jc w:val="center"/>
              <w:rPr>
                <w:rFonts w:hint="eastAsia" w:ascii="宋体" w:hAnsi="宋体" w:eastAsia="宋体"/>
                <w:color w:val="auto"/>
                <w:sz w:val="21"/>
                <w:szCs w:val="21"/>
                <w:highlight w:val="none"/>
                <w:lang w:val="en-US" w:eastAsia="zh-CN"/>
              </w:rPr>
            </w:pPr>
            <w:r>
              <w:rPr>
                <w:rFonts w:hint="eastAsia" w:ascii="Times New Roman" w:hAnsi="Times New Roman" w:eastAsia="宋体" w:cs="Times New Roman"/>
                <w:kern w:val="2"/>
                <w:sz w:val="21"/>
                <w:szCs w:val="24"/>
                <w:lang w:val="en-US" w:eastAsia="zh-CN" w:bidi="ar-SA"/>
              </w:rPr>
              <w:t>6</w:t>
            </w:r>
            <w:r>
              <w:rPr>
                <w:rFonts w:hint="eastAsia" w:ascii="宋体" w:hAnsi="宋体"/>
                <w:color w:val="auto"/>
                <w:sz w:val="21"/>
                <w:szCs w:val="21"/>
                <w:highlight w:val="none"/>
              </w:rPr>
              <w:t>分</w:t>
            </w:r>
          </w:p>
        </w:tc>
      </w:tr>
      <w:tr w14:paraId="7231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7" w:type="dxa"/>
            <w:vMerge w:val="continue"/>
            <w:noWrap w:val="0"/>
            <w:vAlign w:val="center"/>
          </w:tcPr>
          <w:p w14:paraId="64163FC1">
            <w:pPr>
              <w:tabs>
                <w:tab w:val="decimal" w:pos="315"/>
                <w:tab w:val="left" w:pos="630"/>
              </w:tabs>
              <w:spacing w:line="276" w:lineRule="auto"/>
              <w:jc w:val="center"/>
            </w:pPr>
          </w:p>
        </w:tc>
        <w:tc>
          <w:tcPr>
            <w:tcW w:w="1087" w:type="dxa"/>
            <w:noWrap w:val="0"/>
            <w:vAlign w:val="center"/>
          </w:tcPr>
          <w:p w14:paraId="0CAF4B91">
            <w:pPr>
              <w:spacing w:line="360" w:lineRule="auto"/>
              <w:jc w:val="center"/>
              <w:rPr>
                <w:rFonts w:hint="default" w:eastAsia="宋体"/>
                <w:color w:val="auto"/>
                <w:highlight w:val="none"/>
                <w:lang w:val="en-US" w:eastAsia="zh-CN"/>
              </w:rPr>
            </w:pPr>
            <w:r>
              <w:rPr>
                <w:rFonts w:hint="eastAsia" w:ascii="宋体" w:hAnsi="宋体"/>
                <w:color w:val="auto"/>
                <w:highlight w:val="none"/>
              </w:rPr>
              <w:t>一般</w:t>
            </w:r>
            <w:r>
              <w:rPr>
                <w:rFonts w:hint="eastAsia" w:ascii="宋体" w:hAnsi="宋体"/>
                <w:color w:val="auto"/>
                <w:highlight w:val="none"/>
                <w:lang w:eastAsia="zh-CN"/>
              </w:rPr>
              <w:t>服务</w:t>
            </w:r>
            <w:r>
              <w:rPr>
                <w:rFonts w:hint="eastAsia" w:ascii="宋体" w:hAnsi="宋体"/>
                <w:color w:val="auto"/>
                <w:highlight w:val="none"/>
              </w:rPr>
              <w:t>条款响应程度</w:t>
            </w:r>
          </w:p>
        </w:tc>
        <w:tc>
          <w:tcPr>
            <w:tcW w:w="6443" w:type="dxa"/>
            <w:noWrap w:val="0"/>
            <w:vAlign w:val="center"/>
          </w:tcPr>
          <w:p w14:paraId="4764B873">
            <w:pPr>
              <w:spacing w:line="400" w:lineRule="exact"/>
              <w:ind w:firstLine="0"/>
              <w:jc w:val="left"/>
              <w:rPr>
                <w:rFonts w:hint="eastAsia"/>
                <w:lang w:val="en-US" w:eastAsia="zh-CN"/>
              </w:rPr>
            </w:pPr>
            <w:r>
              <w:rPr>
                <w:rFonts w:hint="eastAsia" w:ascii="宋体" w:cs="宋体"/>
                <w:kern w:val="0"/>
                <w:szCs w:val="21"/>
              </w:rPr>
              <w:t>对</w:t>
            </w:r>
            <w:r>
              <w:rPr>
                <w:rFonts w:hint="eastAsia" w:ascii="宋体" w:cs="宋体"/>
                <w:kern w:val="0"/>
                <w:szCs w:val="21"/>
                <w:lang w:eastAsia="zh-CN"/>
              </w:rPr>
              <w:t>用户需求书二、技术</w:t>
            </w:r>
            <w:r>
              <w:rPr>
                <w:rFonts w:hint="eastAsia" w:ascii="宋体" w:cs="宋体"/>
                <w:kern w:val="0"/>
                <w:szCs w:val="21"/>
              </w:rPr>
              <w:t>要求中的不带“★”及不带“▲”的技术参数要求的满足程度进行评</w:t>
            </w:r>
            <w:r>
              <w:rPr>
                <w:rFonts w:hint="eastAsia" w:ascii="宋体" w:cs="宋体"/>
                <w:color w:val="auto"/>
                <w:kern w:val="0"/>
                <w:szCs w:val="21"/>
              </w:rPr>
              <w:t>审（共</w:t>
            </w:r>
            <w:r>
              <w:rPr>
                <w:rFonts w:hint="eastAsia" w:ascii="宋体" w:cs="宋体"/>
                <w:color w:val="auto"/>
                <w:kern w:val="0"/>
                <w:szCs w:val="21"/>
                <w:lang w:val="en-US" w:eastAsia="zh-CN"/>
              </w:rPr>
              <w:t>10</w:t>
            </w:r>
            <w:r>
              <w:rPr>
                <w:rFonts w:hint="eastAsia" w:ascii="宋体" w:cs="宋体"/>
                <w:color w:val="auto"/>
                <w:kern w:val="0"/>
                <w:szCs w:val="21"/>
              </w:rPr>
              <w:t>小项）。全</w:t>
            </w:r>
            <w:r>
              <w:rPr>
                <w:rFonts w:hint="eastAsia" w:ascii="宋体" w:cs="宋体"/>
                <w:kern w:val="0"/>
                <w:szCs w:val="21"/>
              </w:rPr>
              <w:t>部完全响应或优于要求的，得</w:t>
            </w:r>
            <w:r>
              <w:rPr>
                <w:rFonts w:hint="eastAsia" w:ascii="宋体" w:cs="宋体"/>
                <w:kern w:val="0"/>
                <w:szCs w:val="21"/>
                <w:lang w:val="en-US" w:eastAsia="zh-CN"/>
              </w:rPr>
              <w:t>30</w:t>
            </w:r>
            <w:r>
              <w:rPr>
                <w:rFonts w:hint="eastAsia" w:ascii="宋体" w:cs="宋体"/>
                <w:kern w:val="0"/>
                <w:szCs w:val="21"/>
              </w:rPr>
              <w:t>分；每负偏离一项扣</w:t>
            </w:r>
            <w:r>
              <w:rPr>
                <w:rFonts w:hint="eastAsia" w:ascii="宋体" w:cs="宋体"/>
                <w:kern w:val="0"/>
                <w:szCs w:val="21"/>
                <w:lang w:val="en-US" w:eastAsia="zh-CN"/>
              </w:rPr>
              <w:t>3</w:t>
            </w:r>
            <w:r>
              <w:rPr>
                <w:rFonts w:hint="eastAsia" w:ascii="宋体" w:cs="宋体"/>
                <w:kern w:val="0"/>
                <w:szCs w:val="21"/>
              </w:rPr>
              <w:t>分，最低得0分。</w:t>
            </w:r>
          </w:p>
        </w:tc>
        <w:tc>
          <w:tcPr>
            <w:tcW w:w="809" w:type="dxa"/>
            <w:noWrap w:val="0"/>
            <w:vAlign w:val="center"/>
          </w:tcPr>
          <w:p w14:paraId="76BD6A75">
            <w:pPr>
              <w:pStyle w:val="5"/>
              <w:tabs>
                <w:tab w:val="clear" w:pos="4153"/>
                <w:tab w:val="clear" w:pos="8306"/>
              </w:tabs>
              <w:snapToGrid/>
              <w:spacing w:line="360" w:lineRule="auto"/>
              <w:jc w:val="center"/>
              <w:rPr>
                <w:rFonts w:hint="default" w:ascii="宋体" w:hAnsi="宋体" w:cs="宋体"/>
                <w:color w:val="auto"/>
                <w:szCs w:val="21"/>
                <w:highlight w:val="none"/>
                <w:lang w:val="en-US" w:eastAsia="zh-CN"/>
              </w:rPr>
            </w:pPr>
            <w:r>
              <w:rPr>
                <w:rFonts w:hint="eastAsia" w:cs="Times New Roman"/>
                <w:kern w:val="2"/>
                <w:sz w:val="21"/>
                <w:szCs w:val="24"/>
                <w:lang w:val="en-US" w:eastAsia="zh-CN" w:bidi="ar-SA"/>
              </w:rPr>
              <w:t>30</w:t>
            </w:r>
            <w:r>
              <w:rPr>
                <w:rFonts w:hint="eastAsia" w:ascii="宋体" w:hAnsi="宋体"/>
                <w:color w:val="auto"/>
                <w:sz w:val="21"/>
                <w:szCs w:val="21"/>
                <w:highlight w:val="none"/>
                <w:lang w:val="en-US" w:eastAsia="zh-CN"/>
              </w:rPr>
              <w:t>分</w:t>
            </w:r>
          </w:p>
        </w:tc>
      </w:tr>
      <w:tr w14:paraId="300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7" w:type="dxa"/>
            <w:vMerge w:val="continue"/>
            <w:noWrap w:val="0"/>
            <w:vAlign w:val="center"/>
          </w:tcPr>
          <w:p w14:paraId="0749509E">
            <w:pPr>
              <w:tabs>
                <w:tab w:val="decimal" w:pos="315"/>
                <w:tab w:val="left" w:pos="630"/>
              </w:tabs>
              <w:spacing w:line="276" w:lineRule="auto"/>
              <w:jc w:val="center"/>
            </w:pPr>
          </w:p>
        </w:tc>
        <w:tc>
          <w:tcPr>
            <w:tcW w:w="1087" w:type="dxa"/>
            <w:noWrap w:val="0"/>
            <w:vAlign w:val="center"/>
          </w:tcPr>
          <w:p w14:paraId="41E790D2">
            <w:pPr>
              <w:spacing w:line="360" w:lineRule="auto"/>
              <w:jc w:val="center"/>
              <w:rPr>
                <w:rFonts w:hint="default" w:eastAsia="宋体"/>
                <w:color w:val="auto"/>
                <w:lang w:val="en-US" w:eastAsia="zh-CN"/>
              </w:rPr>
            </w:pPr>
            <w:r>
              <w:rPr>
                <w:rFonts w:hint="eastAsia" w:ascii="宋体" w:hAnsi="宋体" w:eastAsia="宋体" w:cs="宋体"/>
                <w:color w:val="000000"/>
                <w:sz w:val="21"/>
                <w:szCs w:val="21"/>
              </w:rPr>
              <w:t>项目业绩</w:t>
            </w:r>
          </w:p>
        </w:tc>
        <w:tc>
          <w:tcPr>
            <w:tcW w:w="6443" w:type="dxa"/>
            <w:noWrap w:val="0"/>
            <w:vAlign w:val="center"/>
          </w:tcPr>
          <w:p w14:paraId="67A6E650">
            <w:pPr>
              <w:spacing w:line="360" w:lineRule="auto"/>
              <w:rPr>
                <w:rFonts w:hint="default" w:ascii="宋体" w:eastAsia="宋体" w:cs="宋体"/>
                <w:bCs/>
                <w:color w:val="000000"/>
                <w:sz w:val="21"/>
                <w:szCs w:val="21"/>
                <w:lang w:val="zh-CN"/>
              </w:rPr>
            </w:pPr>
            <w:r>
              <w:rPr>
                <w:rFonts w:hint="eastAsia" w:ascii="宋体" w:hAnsi="宋体" w:eastAsia="宋体" w:cs="宋体"/>
                <w:sz w:val="21"/>
                <w:szCs w:val="21"/>
              </w:rPr>
              <w:t>供应商提</w:t>
            </w:r>
            <w:r>
              <w:rPr>
                <w:rFonts w:hint="eastAsia" w:ascii="宋体" w:hAnsi="宋体" w:eastAsia="宋体" w:cs="宋体"/>
                <w:color w:val="auto"/>
                <w:sz w:val="21"/>
                <w:szCs w:val="21"/>
              </w:rPr>
              <w:t>供</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年1月1日以来</w:t>
            </w:r>
            <w:r>
              <w:rPr>
                <w:rFonts w:hint="eastAsia" w:ascii="宋体" w:hAnsi="宋体" w:eastAsia="宋体" w:cs="宋体"/>
                <w:color w:val="auto"/>
                <w:sz w:val="21"/>
                <w:szCs w:val="21"/>
              </w:rPr>
              <w:t>的同类项</w:t>
            </w:r>
            <w:r>
              <w:rPr>
                <w:rFonts w:hint="eastAsia" w:ascii="宋体" w:hAnsi="宋体" w:eastAsia="宋体" w:cs="宋体"/>
                <w:sz w:val="21"/>
                <w:szCs w:val="21"/>
              </w:rPr>
              <w:t>目修保服务项目业绩</w:t>
            </w:r>
            <w:r>
              <w:rPr>
                <w:rFonts w:hint="eastAsia" w:ascii="宋体" w:hAnsi="宋体" w:cs="宋体"/>
                <w:sz w:val="21"/>
                <w:szCs w:val="21"/>
                <w:lang w:eastAsia="zh-CN"/>
              </w:rPr>
              <w:t>（</w:t>
            </w:r>
            <w:r>
              <w:rPr>
                <w:rFonts w:hint="eastAsia" w:ascii="宋体" w:hAnsi="宋体" w:cs="宋体"/>
                <w:sz w:val="21"/>
                <w:szCs w:val="21"/>
                <w:lang w:val="en-US" w:eastAsia="zh-CN"/>
              </w:rPr>
              <w:t>以</w:t>
            </w:r>
            <w:r>
              <w:rPr>
                <w:rFonts w:hint="eastAsia" w:ascii="宋体" w:hAnsi="宋体" w:eastAsia="宋体" w:cs="宋体"/>
                <w:sz w:val="21"/>
                <w:szCs w:val="21"/>
              </w:rPr>
              <w:t>合同或</w:t>
            </w:r>
            <w:r>
              <w:rPr>
                <w:rFonts w:hint="eastAsia" w:ascii="宋体" w:hAnsi="宋体" w:cs="宋体"/>
                <w:sz w:val="21"/>
                <w:szCs w:val="21"/>
                <w:lang w:eastAsia="zh-CN"/>
              </w:rPr>
              <w:t>中标（成交）通知书</w:t>
            </w:r>
            <w:r>
              <w:rPr>
                <w:rFonts w:hint="eastAsia" w:ascii="宋体" w:hAnsi="宋体" w:cs="宋体"/>
                <w:sz w:val="21"/>
                <w:szCs w:val="21"/>
                <w:lang w:val="en-US" w:eastAsia="zh-CN"/>
              </w:rPr>
              <w:t>时间为准</w:t>
            </w:r>
            <w:r>
              <w:rPr>
                <w:rFonts w:hint="eastAsia" w:ascii="宋体" w:hAnsi="宋体" w:cs="宋体"/>
                <w:sz w:val="21"/>
                <w:szCs w:val="21"/>
                <w:lang w:eastAsia="zh-CN"/>
              </w:rPr>
              <w:t>），</w:t>
            </w:r>
            <w:r>
              <w:rPr>
                <w:rFonts w:hint="eastAsia" w:ascii="宋体" w:hAnsi="宋体" w:eastAsia="宋体" w:cs="宋体"/>
                <w:sz w:val="21"/>
                <w:szCs w:val="21"/>
              </w:rPr>
              <w:t>每提供1份业绩证明得</w:t>
            </w:r>
            <w:r>
              <w:rPr>
                <w:rFonts w:hint="eastAsia" w:cs="宋体"/>
                <w:sz w:val="21"/>
                <w:szCs w:val="21"/>
                <w:lang w:val="en-US" w:eastAsia="zh-CN"/>
              </w:rPr>
              <w:t>3</w:t>
            </w:r>
            <w:r>
              <w:rPr>
                <w:rFonts w:hint="eastAsia" w:ascii="宋体" w:hAnsi="宋体" w:eastAsia="宋体" w:cs="宋体"/>
                <w:sz w:val="21"/>
                <w:szCs w:val="21"/>
              </w:rPr>
              <w:t>分，最高15分</w:t>
            </w:r>
            <w:r>
              <w:rPr>
                <w:rFonts w:hint="eastAsia" w:ascii="宋体" w:hAnsi="宋体" w:cs="宋体"/>
                <w:sz w:val="21"/>
                <w:szCs w:val="21"/>
                <w:lang w:eastAsia="zh-CN"/>
              </w:rPr>
              <w:t>。</w:t>
            </w:r>
            <w:r>
              <w:rPr>
                <w:rFonts w:hint="eastAsia" w:ascii="宋体" w:hAnsi="宋体" w:eastAsia="宋体" w:cs="宋体"/>
                <w:sz w:val="21"/>
                <w:szCs w:val="21"/>
              </w:rPr>
              <w:t>（注：1、提供相应合同或</w:t>
            </w:r>
            <w:r>
              <w:rPr>
                <w:rFonts w:hint="eastAsia" w:ascii="宋体" w:hAnsi="宋体" w:cs="宋体"/>
                <w:sz w:val="21"/>
                <w:szCs w:val="21"/>
                <w:lang w:eastAsia="zh-CN"/>
              </w:rPr>
              <w:t>中标（成交）通知书</w:t>
            </w:r>
            <w:r>
              <w:rPr>
                <w:rFonts w:hint="eastAsia" w:ascii="宋体" w:hAnsi="宋体" w:eastAsia="宋体" w:cs="宋体"/>
                <w:sz w:val="21"/>
                <w:szCs w:val="21"/>
              </w:rPr>
              <w:t>复印件加盖公章，且必须有采购方联系人，以备证实；2、相同业绩提供不同证明材料的不重复计分）</w:t>
            </w:r>
            <w:r>
              <w:rPr>
                <w:rFonts w:hint="eastAsia" w:ascii="宋体" w:hAnsi="宋体"/>
                <w:color w:val="auto"/>
                <w:szCs w:val="21"/>
                <w:highlight w:val="none"/>
              </w:rPr>
              <w:t>。</w:t>
            </w:r>
          </w:p>
        </w:tc>
        <w:tc>
          <w:tcPr>
            <w:tcW w:w="809" w:type="dxa"/>
            <w:noWrap w:val="0"/>
            <w:vAlign w:val="center"/>
          </w:tcPr>
          <w:p w14:paraId="2347F765">
            <w:pPr>
              <w:pStyle w:val="5"/>
              <w:tabs>
                <w:tab w:val="clear" w:pos="4153"/>
                <w:tab w:val="clear" w:pos="8306"/>
              </w:tabs>
              <w:snapToGrid/>
              <w:spacing w:line="360" w:lineRule="auto"/>
              <w:jc w:val="center"/>
              <w:rPr>
                <w:rFonts w:hint="eastAsia" w:eastAsia="宋体"/>
                <w:lang w:val="en-US" w:eastAsia="zh-CN"/>
              </w:rPr>
            </w:pPr>
            <w:r>
              <w:rPr>
                <w:rFonts w:hint="eastAsia" w:ascii="Times New Roman" w:hAnsi="Times New Roman" w:eastAsia="宋体" w:cs="Times New Roman"/>
                <w:kern w:val="2"/>
                <w:sz w:val="21"/>
                <w:szCs w:val="24"/>
                <w:lang w:val="en-US" w:eastAsia="zh-CN" w:bidi="ar-SA"/>
              </w:rPr>
              <w:t>15</w:t>
            </w:r>
            <w:r>
              <w:rPr>
                <w:rFonts w:hint="eastAsia" w:ascii="宋体" w:hAnsi="宋体"/>
                <w:color w:val="auto"/>
                <w:sz w:val="21"/>
                <w:szCs w:val="21"/>
                <w:highlight w:val="none"/>
              </w:rPr>
              <w:t>分</w:t>
            </w:r>
          </w:p>
        </w:tc>
      </w:tr>
      <w:tr w14:paraId="6D92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7" w:type="dxa"/>
            <w:vMerge w:val="continue"/>
            <w:noWrap w:val="0"/>
            <w:vAlign w:val="center"/>
          </w:tcPr>
          <w:p w14:paraId="2AC03522">
            <w:pPr>
              <w:tabs>
                <w:tab w:val="decimal" w:pos="315"/>
                <w:tab w:val="left" w:pos="630"/>
              </w:tabs>
              <w:spacing w:line="276" w:lineRule="auto"/>
              <w:jc w:val="center"/>
            </w:pPr>
          </w:p>
        </w:tc>
        <w:tc>
          <w:tcPr>
            <w:tcW w:w="1087" w:type="dxa"/>
            <w:noWrap w:val="0"/>
            <w:vAlign w:val="center"/>
          </w:tcPr>
          <w:p w14:paraId="1C982599">
            <w:pPr>
              <w:spacing w:line="360" w:lineRule="auto"/>
              <w:jc w:val="center"/>
              <w:rPr>
                <w:rFonts w:hint="default" w:eastAsia="宋体"/>
                <w:color w:val="auto"/>
                <w:lang w:val="en-US" w:eastAsia="zh-CN"/>
              </w:rPr>
            </w:pPr>
            <w:r>
              <w:rPr>
                <w:rFonts w:hint="eastAsia" w:ascii="宋体" w:hAnsi="宋体" w:eastAsia="宋体" w:cs="宋体"/>
                <w:color w:val="000000"/>
                <w:sz w:val="21"/>
                <w:szCs w:val="21"/>
              </w:rPr>
              <w:t>拟投入本项目的人员情况</w:t>
            </w:r>
          </w:p>
        </w:tc>
        <w:tc>
          <w:tcPr>
            <w:tcW w:w="6443" w:type="dxa"/>
            <w:noWrap w:val="0"/>
            <w:vAlign w:val="center"/>
          </w:tcPr>
          <w:p w14:paraId="56AE2CF2">
            <w:pPr>
              <w:spacing w:line="360" w:lineRule="auto"/>
              <w:rPr>
                <w:rFonts w:hint="default" w:ascii="Calibri" w:hAnsi="Calibri" w:eastAsia="宋体" w:cs="Times New Roman"/>
                <w:lang w:val="zh-CN" w:eastAsia="zh-Hans"/>
              </w:rPr>
            </w:pPr>
            <w:r>
              <w:rPr>
                <w:rFonts w:hint="eastAsia" w:ascii="宋体" w:hAnsi="宋体" w:eastAsia="宋体" w:cs="宋体"/>
                <w:sz w:val="21"/>
                <w:szCs w:val="21"/>
              </w:rPr>
              <w:t>供应商有专职维保人员，且维保人员需有厂家出具的培训证明，每按要求提供1名专职维保人员得</w:t>
            </w:r>
            <w:r>
              <w:rPr>
                <w:rFonts w:hint="eastAsia" w:ascii="宋体" w:hAnsi="宋体" w:cs="宋体"/>
                <w:sz w:val="21"/>
                <w:szCs w:val="21"/>
                <w:lang w:val="en-US" w:eastAsia="zh-CN"/>
              </w:rPr>
              <w:t>3</w:t>
            </w:r>
            <w:r>
              <w:rPr>
                <w:rFonts w:hint="eastAsia" w:ascii="宋体" w:hAnsi="宋体" w:eastAsia="宋体" w:cs="宋体"/>
                <w:sz w:val="21"/>
                <w:szCs w:val="21"/>
              </w:rPr>
              <w:t>分，本项最高</w:t>
            </w:r>
            <w:r>
              <w:rPr>
                <w:rFonts w:hint="eastAsia" w:ascii="宋体" w:hAnsi="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厂家出具的培训证明。</w:t>
            </w:r>
            <w:r>
              <w:rPr>
                <w:rFonts w:hint="eastAsia"/>
                <w:color w:val="auto"/>
                <w:sz w:val="21"/>
                <w:szCs w:val="21"/>
                <w:lang w:val="en-US" w:eastAsia="zh-CN"/>
              </w:rPr>
              <w:t>在供应商任职的外部证明材料（如加盖政府有关部门印章的打印日期在本项目响应截止之前任意一个月的投保单或社会保险参保人员证明或单位代缴个人所得税税单等）。不提供</w:t>
            </w:r>
            <w:r>
              <w:rPr>
                <w:rFonts w:hint="eastAsia" w:ascii="宋体" w:hAnsi="宋体" w:eastAsia="宋体" w:cs="宋体"/>
                <w:color w:val="auto"/>
                <w:sz w:val="21"/>
                <w:szCs w:val="21"/>
              </w:rPr>
              <w:t>不</w:t>
            </w:r>
            <w:r>
              <w:rPr>
                <w:rFonts w:hint="eastAsia" w:ascii="宋体" w:hAnsi="宋体" w:cs="宋体"/>
                <w:color w:val="auto"/>
                <w:sz w:val="21"/>
                <w:szCs w:val="21"/>
                <w:lang w:eastAsia="zh-CN"/>
              </w:rPr>
              <w:t>得</w:t>
            </w:r>
            <w:r>
              <w:rPr>
                <w:rFonts w:hint="eastAsia" w:ascii="宋体" w:hAnsi="宋体" w:eastAsia="宋体" w:cs="宋体"/>
                <w:color w:val="auto"/>
                <w:sz w:val="21"/>
                <w:szCs w:val="21"/>
              </w:rPr>
              <w:t>分）</w:t>
            </w:r>
          </w:p>
        </w:tc>
        <w:tc>
          <w:tcPr>
            <w:tcW w:w="809" w:type="dxa"/>
            <w:noWrap w:val="0"/>
            <w:vAlign w:val="center"/>
          </w:tcPr>
          <w:p w14:paraId="2A0AE5CA">
            <w:pPr>
              <w:spacing w:line="360" w:lineRule="auto"/>
              <w:jc w:val="center"/>
              <w:rPr>
                <w:rFonts w:hint="eastAsia" w:eastAsia="宋体"/>
                <w:lang w:val="en-US" w:eastAsia="zh-CN"/>
              </w:rPr>
            </w:pPr>
            <w:r>
              <w:rPr>
                <w:rFonts w:hint="eastAsia" w:ascii="Times New Roman" w:hAnsi="Times New Roman" w:eastAsia="宋体" w:cs="Times New Roman"/>
                <w:lang w:val="en-US" w:eastAsia="zh-CN"/>
              </w:rPr>
              <w:t>6</w:t>
            </w:r>
            <w:r>
              <w:rPr>
                <w:rFonts w:hint="eastAsia" w:ascii="宋体" w:hAnsi="宋体" w:cs="宋体"/>
                <w:color w:val="auto"/>
                <w:szCs w:val="21"/>
                <w:highlight w:val="none"/>
                <w:lang w:val="en-US" w:eastAsia="zh-CN"/>
              </w:rPr>
              <w:t>分</w:t>
            </w:r>
          </w:p>
        </w:tc>
      </w:tr>
      <w:tr w14:paraId="27CC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7" w:type="dxa"/>
            <w:vMerge w:val="continue"/>
            <w:noWrap w:val="0"/>
            <w:vAlign w:val="center"/>
          </w:tcPr>
          <w:p w14:paraId="5865BD7E">
            <w:pPr>
              <w:tabs>
                <w:tab w:val="decimal" w:pos="315"/>
                <w:tab w:val="left" w:pos="630"/>
              </w:tabs>
              <w:spacing w:line="276" w:lineRule="auto"/>
              <w:jc w:val="center"/>
            </w:pPr>
          </w:p>
        </w:tc>
        <w:tc>
          <w:tcPr>
            <w:tcW w:w="1087" w:type="dxa"/>
            <w:noWrap w:val="0"/>
            <w:vAlign w:val="center"/>
          </w:tcPr>
          <w:p w14:paraId="7366EBD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备件供应服务能力</w:t>
            </w:r>
          </w:p>
        </w:tc>
        <w:tc>
          <w:tcPr>
            <w:tcW w:w="6443" w:type="dxa"/>
            <w:noWrap w:val="0"/>
            <w:vAlign w:val="top"/>
          </w:tcPr>
          <w:p w14:paraId="0A568714">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对供应商的仓库配件库存零配件管理情况、对用户需求书中的配件报价情况进行评审：</w:t>
            </w:r>
          </w:p>
          <w:p w14:paraId="75202B27">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1、仓库配件、库存零备件有完善的管理制度，损耗低，配件报价优惠合理的，得</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lang w:val="en-US" w:eastAsia="zh-CN"/>
              </w:rPr>
              <w:t xml:space="preserve">分； </w:t>
            </w:r>
          </w:p>
          <w:p w14:paraId="6DD31D6D">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2、仓库配件、库存零备件有一定的管理制度，但损耗管理存在不足，配件报价较优惠合理的，得</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lang w:val="en-US" w:eastAsia="zh-CN"/>
              </w:rPr>
              <w:t xml:space="preserve">分； </w:t>
            </w:r>
          </w:p>
          <w:p w14:paraId="461C7EB6">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3、仓库配件、库存零配件缺乏管理制度，损耗率高，配件报价优惠一般的，得</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 xml:space="preserve">分； </w:t>
            </w:r>
          </w:p>
          <w:p w14:paraId="2E9600EC">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4、不提供不等分。 </w:t>
            </w:r>
          </w:p>
          <w:p w14:paraId="227229B9">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【注：提供相关证明材料、相关实拍图片、空气消毒</w:t>
            </w:r>
            <w:r>
              <w:rPr>
                <w:rFonts w:hint="eastAsia" w:ascii="宋体" w:hAnsi="宋体" w:cs="宋体"/>
                <w:color w:val="000000"/>
                <w:sz w:val="21"/>
                <w:szCs w:val="21"/>
                <w:lang w:val="en-US" w:eastAsia="zh-CN"/>
              </w:rPr>
              <w:t>设备维修</w:t>
            </w:r>
            <w:r>
              <w:rPr>
                <w:rFonts w:hint="eastAsia" w:ascii="宋体" w:hAnsi="宋体" w:eastAsia="宋体" w:cs="宋体"/>
                <w:color w:val="000000"/>
                <w:sz w:val="21"/>
                <w:szCs w:val="21"/>
                <w:lang w:val="en-US" w:eastAsia="zh-CN"/>
              </w:rPr>
              <w:t>配件明细报价并加盖公章】</w:t>
            </w:r>
          </w:p>
        </w:tc>
        <w:tc>
          <w:tcPr>
            <w:tcW w:w="809" w:type="dxa"/>
            <w:noWrap w:val="0"/>
            <w:vAlign w:val="center"/>
          </w:tcPr>
          <w:p w14:paraId="4646C191">
            <w:pPr>
              <w:spacing w:line="360" w:lineRule="auto"/>
              <w:jc w:val="center"/>
              <w:rPr>
                <w:rFonts w:hint="default" w:ascii="宋体" w:hAnsi="宋体" w:cs="宋体"/>
                <w:color w:val="auto"/>
                <w:szCs w:val="21"/>
                <w:highlight w:val="none"/>
                <w:lang w:val="en-US" w:eastAsia="zh-CN"/>
              </w:rPr>
            </w:pPr>
            <w:r>
              <w:rPr>
                <w:rFonts w:hint="eastAsia" w:cs="Times New Roman"/>
                <w:lang w:val="en-US" w:eastAsia="zh-CN"/>
              </w:rPr>
              <w:t>10</w:t>
            </w:r>
            <w:r>
              <w:rPr>
                <w:rFonts w:hint="eastAsia" w:ascii="宋体" w:hAnsi="宋体" w:cs="宋体"/>
                <w:color w:val="auto"/>
                <w:szCs w:val="21"/>
                <w:highlight w:val="none"/>
                <w:lang w:val="en-US" w:eastAsia="zh-CN"/>
              </w:rPr>
              <w:t>分</w:t>
            </w:r>
          </w:p>
        </w:tc>
      </w:tr>
      <w:tr w14:paraId="40F0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7" w:type="dxa"/>
            <w:vMerge w:val="continue"/>
            <w:noWrap w:val="0"/>
            <w:vAlign w:val="center"/>
          </w:tcPr>
          <w:p w14:paraId="5E2361D2">
            <w:pPr>
              <w:tabs>
                <w:tab w:val="decimal" w:pos="315"/>
                <w:tab w:val="left" w:pos="630"/>
              </w:tabs>
              <w:spacing w:line="276" w:lineRule="auto"/>
              <w:jc w:val="center"/>
            </w:pPr>
          </w:p>
        </w:tc>
        <w:tc>
          <w:tcPr>
            <w:tcW w:w="1087" w:type="dxa"/>
            <w:noWrap w:val="0"/>
            <w:vAlign w:val="center"/>
          </w:tcPr>
          <w:p w14:paraId="59C0BB15">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服务质量保证措施及质量违约承诺</w:t>
            </w:r>
          </w:p>
        </w:tc>
        <w:tc>
          <w:tcPr>
            <w:tcW w:w="6443" w:type="dxa"/>
            <w:noWrap w:val="0"/>
            <w:vAlign w:val="top"/>
          </w:tcPr>
          <w:p w14:paraId="3377C044">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根据供应商提供的服务质量保证措施及质量违约承诺（包括但不限于培训服务、服务质量保障措施等）进行评审： </w:t>
            </w:r>
          </w:p>
          <w:p w14:paraId="2553B4AC">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对本项目的服务质量保证措施及质量违约承诺具体、合理可行、完善程度高的，得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分； </w:t>
            </w:r>
          </w:p>
          <w:p w14:paraId="062FD744">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对本项目的服务质量保证措施及质量违约承诺较具体、较合理、完善程度可行的，得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 xml:space="preserve">分； </w:t>
            </w:r>
          </w:p>
          <w:p w14:paraId="7180B72B">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对本项目的服务质量保证措施及质量违约承诺不够具体、完善程度欠缺的，得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 xml:space="preserve">分； </w:t>
            </w:r>
          </w:p>
          <w:p w14:paraId="14B9972E">
            <w:pPr>
              <w:spacing w:line="360" w:lineRule="auto"/>
              <w:jc w:val="left"/>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对本项目的服务质量保证措施及质量违约承诺差或不提供的，得0分</w:t>
            </w:r>
            <w:r>
              <w:rPr>
                <w:rFonts w:hint="eastAsia" w:ascii="宋体" w:hAnsi="宋体" w:eastAsia="宋体" w:cs="宋体"/>
                <w:color w:val="000000"/>
                <w:sz w:val="21"/>
                <w:szCs w:val="21"/>
                <w:lang w:eastAsia="zh-CN"/>
              </w:rPr>
              <w:t>。</w:t>
            </w:r>
          </w:p>
        </w:tc>
        <w:tc>
          <w:tcPr>
            <w:tcW w:w="809" w:type="dxa"/>
            <w:noWrap w:val="0"/>
            <w:vAlign w:val="center"/>
          </w:tcPr>
          <w:p w14:paraId="0D5DC775">
            <w:pPr>
              <w:spacing w:line="360" w:lineRule="auto"/>
              <w:jc w:val="center"/>
              <w:rPr>
                <w:rFonts w:hint="eastAsia" w:ascii="宋体" w:hAnsi="宋体" w:cs="宋体"/>
                <w:color w:val="auto"/>
                <w:szCs w:val="21"/>
                <w:highlight w:val="none"/>
                <w:lang w:val="en-US" w:eastAsia="zh-CN"/>
              </w:rPr>
            </w:pPr>
            <w:r>
              <w:rPr>
                <w:rFonts w:hint="eastAsia" w:ascii="Times New Roman" w:hAnsi="Times New Roman" w:eastAsia="宋体" w:cs="Times New Roman"/>
                <w:lang w:val="en-US" w:eastAsia="zh-CN"/>
              </w:rPr>
              <w:t>5</w:t>
            </w:r>
            <w:r>
              <w:rPr>
                <w:rFonts w:hint="eastAsia" w:ascii="宋体" w:hAnsi="宋体" w:cs="宋体"/>
                <w:color w:val="auto"/>
                <w:szCs w:val="21"/>
                <w:highlight w:val="none"/>
                <w:lang w:val="en-US" w:eastAsia="zh-CN"/>
              </w:rPr>
              <w:t>分</w:t>
            </w:r>
          </w:p>
        </w:tc>
      </w:tr>
      <w:tr w14:paraId="7A61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7" w:type="dxa"/>
            <w:vMerge w:val="continue"/>
            <w:noWrap w:val="0"/>
            <w:vAlign w:val="center"/>
          </w:tcPr>
          <w:p w14:paraId="787AA985">
            <w:pPr>
              <w:tabs>
                <w:tab w:val="decimal" w:pos="315"/>
                <w:tab w:val="left" w:pos="630"/>
              </w:tabs>
              <w:spacing w:line="276" w:lineRule="auto"/>
              <w:jc w:val="center"/>
            </w:pPr>
          </w:p>
        </w:tc>
        <w:tc>
          <w:tcPr>
            <w:tcW w:w="1087" w:type="dxa"/>
            <w:noWrap w:val="0"/>
            <w:vAlign w:val="center"/>
          </w:tcPr>
          <w:p w14:paraId="597CC4C4">
            <w:pPr>
              <w:spacing w:line="360" w:lineRule="auto"/>
              <w:jc w:val="center"/>
              <w:rPr>
                <w:rFonts w:hint="default" w:ascii="宋体" w:eastAsia="宋体" w:cs="宋体"/>
                <w:color w:val="000000"/>
                <w:sz w:val="21"/>
                <w:szCs w:val="21"/>
              </w:rPr>
            </w:pPr>
            <w:r>
              <w:rPr>
                <w:rFonts w:hint="eastAsia"/>
                <w:color w:val="auto"/>
                <w:szCs w:val="21"/>
                <w:highlight w:val="none"/>
                <w:lang w:eastAsia="zh-CN"/>
              </w:rPr>
              <w:t>维保方案</w:t>
            </w:r>
          </w:p>
        </w:tc>
        <w:tc>
          <w:tcPr>
            <w:tcW w:w="6443" w:type="dxa"/>
            <w:noWrap w:val="0"/>
            <w:vAlign w:val="center"/>
          </w:tcPr>
          <w:p w14:paraId="2A3E0465">
            <w:pPr>
              <w:spacing w:line="360" w:lineRule="auto"/>
              <w:rPr>
                <w:rFonts w:hint="eastAsia" w:ascii="宋体" w:hAnsi="宋体" w:eastAsia="宋体" w:cs="宋体"/>
                <w:sz w:val="21"/>
                <w:szCs w:val="21"/>
                <w:lang w:val="zh-CN"/>
              </w:rPr>
            </w:pPr>
            <w:r>
              <w:rPr>
                <w:rFonts w:hint="eastAsia" w:ascii="宋体" w:hAnsi="宋体" w:eastAsia="宋体" w:cs="宋体"/>
                <w:color w:val="000000"/>
                <w:sz w:val="21"/>
                <w:szCs w:val="21"/>
              </w:rPr>
              <w:t>根据供应商提供的</w:t>
            </w:r>
            <w:r>
              <w:rPr>
                <w:rFonts w:hint="eastAsia"/>
                <w:color w:val="auto"/>
                <w:szCs w:val="21"/>
                <w:highlight w:val="none"/>
                <w:lang w:eastAsia="zh-CN"/>
              </w:rPr>
              <w:t>维保方案</w:t>
            </w:r>
            <w:r>
              <w:rPr>
                <w:rFonts w:hint="eastAsia" w:ascii="宋体" w:hAnsi="宋体" w:eastAsia="宋体" w:cs="宋体"/>
                <w:color w:val="000000"/>
                <w:sz w:val="21"/>
                <w:szCs w:val="21"/>
              </w:rPr>
              <w:t>进行评审：</w:t>
            </w:r>
          </w:p>
          <w:p w14:paraId="67894CA2">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default" w:ascii="宋体" w:hAnsi="宋体" w:eastAsia="宋体" w:cs="宋体"/>
                <w:sz w:val="21"/>
                <w:szCs w:val="21"/>
                <w:lang w:val="en-US" w:eastAsia="zh-CN"/>
              </w:rPr>
              <w:t>维保服务方案内容完整、详细、规范、标准，有具体的服务项目内容、维修保养计划、软硬件升级工作流程及响应时间安排细节等且具有针对性和可行性，充分考虑</w:t>
            </w:r>
            <w:r>
              <w:rPr>
                <w:rFonts w:hint="eastAsia" w:ascii="宋体" w:hAnsi="宋体" w:cs="宋体"/>
                <w:sz w:val="21"/>
                <w:szCs w:val="21"/>
                <w:lang w:val="en-US" w:eastAsia="zh-CN"/>
              </w:rPr>
              <w:t>项目</w:t>
            </w:r>
            <w:r>
              <w:rPr>
                <w:rFonts w:hint="default" w:ascii="宋体" w:hAnsi="宋体" w:eastAsia="宋体" w:cs="宋体"/>
                <w:sz w:val="21"/>
                <w:szCs w:val="21"/>
                <w:lang w:val="en-US" w:eastAsia="zh-CN"/>
              </w:rPr>
              <w:t>需求，实施计划完善具体；</w:t>
            </w:r>
            <w:r>
              <w:rPr>
                <w:rFonts w:hint="eastAsia" w:ascii="宋体" w:hAnsi="宋体" w:eastAsia="宋体" w:cs="宋体"/>
                <w:sz w:val="21"/>
                <w:szCs w:val="21"/>
                <w:lang w:val="zh-CN"/>
              </w:rPr>
              <w:t>得</w:t>
            </w:r>
            <w:r>
              <w:rPr>
                <w:rFonts w:hint="eastAsia" w:ascii="宋体" w:hAnsi="宋体" w:cs="宋体"/>
                <w:sz w:val="21"/>
                <w:szCs w:val="21"/>
                <w:lang w:val="en-US" w:eastAsia="zh-CN"/>
              </w:rPr>
              <w:t>8</w:t>
            </w:r>
            <w:r>
              <w:rPr>
                <w:rFonts w:hint="eastAsia" w:ascii="宋体" w:hAnsi="宋体" w:eastAsia="宋体" w:cs="宋体"/>
                <w:sz w:val="21"/>
                <w:szCs w:val="21"/>
                <w:lang w:val="zh-CN"/>
              </w:rPr>
              <w:t xml:space="preserve">分； </w:t>
            </w:r>
          </w:p>
          <w:p w14:paraId="068F2CB9">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default" w:ascii="宋体" w:hAnsi="宋体" w:eastAsia="宋体" w:cs="宋体"/>
                <w:sz w:val="21"/>
                <w:szCs w:val="21"/>
                <w:lang w:val="en-US" w:eastAsia="zh-CN"/>
              </w:rPr>
              <w:t>维保服务</w:t>
            </w:r>
            <w:r>
              <w:rPr>
                <w:rFonts w:hint="eastAsia" w:ascii="宋体" w:hAnsi="宋体" w:cs="宋体"/>
                <w:sz w:val="21"/>
                <w:szCs w:val="21"/>
                <w:lang w:val="en-US" w:eastAsia="zh-CN"/>
              </w:rPr>
              <w:t>方案</w:t>
            </w:r>
            <w:r>
              <w:rPr>
                <w:rFonts w:hint="default" w:ascii="宋体" w:hAnsi="宋体" w:eastAsia="宋体" w:cs="宋体"/>
                <w:sz w:val="21"/>
                <w:szCs w:val="21"/>
                <w:lang w:val="en-US" w:eastAsia="zh-CN"/>
              </w:rPr>
              <w:t>内容较完整、详细、规范性和标准化程度较好，有服务项目内容、维修保养计划、软硬件升级工作流程及响应时间安排细节等且具有较强针对性和可行性，实施计划</w:t>
            </w:r>
            <w:r>
              <w:rPr>
                <w:rFonts w:hint="eastAsia" w:ascii="宋体" w:hAnsi="宋体" w:cs="宋体"/>
                <w:sz w:val="21"/>
                <w:szCs w:val="21"/>
                <w:lang w:val="en-US" w:eastAsia="zh-CN"/>
              </w:rPr>
              <w:t>较</w:t>
            </w:r>
            <w:r>
              <w:rPr>
                <w:rFonts w:hint="default" w:ascii="宋体" w:hAnsi="宋体" w:eastAsia="宋体" w:cs="宋体"/>
                <w:sz w:val="21"/>
                <w:szCs w:val="21"/>
                <w:lang w:val="en-US" w:eastAsia="zh-CN"/>
              </w:rPr>
              <w:t>具体；</w:t>
            </w:r>
            <w:r>
              <w:rPr>
                <w:rFonts w:hint="eastAsia" w:ascii="宋体" w:hAnsi="宋体" w:eastAsia="宋体" w:cs="宋体"/>
                <w:sz w:val="21"/>
                <w:szCs w:val="21"/>
                <w:lang w:val="zh-CN"/>
              </w:rPr>
              <w:t>得</w:t>
            </w:r>
            <w:r>
              <w:rPr>
                <w:rFonts w:hint="eastAsia" w:ascii="宋体" w:hAnsi="宋体" w:cs="宋体"/>
                <w:sz w:val="21"/>
                <w:szCs w:val="21"/>
                <w:lang w:val="en-US" w:eastAsia="zh-CN"/>
              </w:rPr>
              <w:t>5</w:t>
            </w:r>
            <w:r>
              <w:rPr>
                <w:rFonts w:hint="eastAsia" w:ascii="宋体" w:hAnsi="宋体" w:eastAsia="宋体" w:cs="宋体"/>
                <w:sz w:val="21"/>
                <w:szCs w:val="21"/>
                <w:lang w:val="zh-CN"/>
              </w:rPr>
              <w:t xml:space="preserve">分； </w:t>
            </w:r>
          </w:p>
          <w:p w14:paraId="56D81BFE">
            <w:pPr>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3、</w:t>
            </w:r>
            <w:r>
              <w:rPr>
                <w:rFonts w:hint="default" w:ascii="宋体" w:hAnsi="宋体" w:eastAsia="宋体" w:cs="宋体"/>
                <w:sz w:val="21"/>
                <w:szCs w:val="21"/>
                <w:lang w:val="en-US" w:eastAsia="zh-CN"/>
              </w:rPr>
              <w:t>维保服务方案不完整，规范性和标准化程度一般，服务项目内容、维修保养计划不具体、软硬件升级工作流程及响应时间安排细节等不合理且针对性和可行性一般，实施计划</w:t>
            </w:r>
            <w:r>
              <w:rPr>
                <w:rFonts w:hint="eastAsia" w:ascii="宋体" w:hAnsi="宋体" w:cs="宋体"/>
                <w:sz w:val="21"/>
                <w:szCs w:val="21"/>
                <w:lang w:val="en-US" w:eastAsia="zh-CN"/>
              </w:rPr>
              <w:t>一般，</w:t>
            </w:r>
            <w:r>
              <w:rPr>
                <w:rFonts w:hint="eastAsia" w:ascii="宋体" w:hAnsi="宋体" w:eastAsia="宋体" w:cs="宋体"/>
                <w:sz w:val="21"/>
                <w:szCs w:val="21"/>
                <w:lang w:val="zh-CN"/>
              </w:rPr>
              <w:t>得</w:t>
            </w:r>
            <w:r>
              <w:rPr>
                <w:rFonts w:hint="eastAsia" w:ascii="宋体" w:hAnsi="宋体" w:cs="宋体"/>
                <w:sz w:val="21"/>
                <w:szCs w:val="21"/>
                <w:lang w:val="en-US" w:eastAsia="zh-CN"/>
              </w:rPr>
              <w:t>2</w:t>
            </w:r>
            <w:r>
              <w:rPr>
                <w:rFonts w:hint="eastAsia" w:ascii="宋体" w:hAnsi="宋体" w:eastAsia="宋体" w:cs="宋体"/>
                <w:sz w:val="21"/>
                <w:szCs w:val="21"/>
                <w:lang w:val="zh-CN"/>
              </w:rPr>
              <w:t xml:space="preserve">分； </w:t>
            </w:r>
          </w:p>
          <w:p w14:paraId="646DA552">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4、不提供不得分。</w:t>
            </w:r>
          </w:p>
        </w:tc>
        <w:tc>
          <w:tcPr>
            <w:tcW w:w="809" w:type="dxa"/>
            <w:noWrap w:val="0"/>
            <w:vAlign w:val="center"/>
          </w:tcPr>
          <w:p w14:paraId="27500E51">
            <w:pPr>
              <w:spacing w:line="360" w:lineRule="auto"/>
              <w:jc w:val="center"/>
              <w:rPr>
                <w:rFonts w:hint="eastAsia" w:eastAsia="宋体"/>
                <w:lang w:val="en-US" w:eastAsia="zh-CN"/>
              </w:rPr>
            </w:pPr>
            <w:r>
              <w:rPr>
                <w:rFonts w:hint="eastAsia" w:cs="Times New Roman"/>
                <w:lang w:val="en-US" w:eastAsia="zh-CN"/>
              </w:rPr>
              <w:t>8</w:t>
            </w:r>
            <w:r>
              <w:rPr>
                <w:rFonts w:hint="eastAsia" w:ascii="宋体" w:hAnsi="宋体" w:cs="宋体"/>
                <w:color w:val="auto"/>
                <w:szCs w:val="21"/>
                <w:highlight w:val="none"/>
                <w:lang w:val="en-US" w:eastAsia="zh-CN"/>
              </w:rPr>
              <w:t>分</w:t>
            </w:r>
          </w:p>
        </w:tc>
      </w:tr>
      <w:tr w14:paraId="039D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87" w:type="dxa"/>
            <w:noWrap w:val="0"/>
            <w:vAlign w:val="center"/>
          </w:tcPr>
          <w:p w14:paraId="341C705A">
            <w:pPr>
              <w:jc w:val="center"/>
              <w:rPr>
                <w:rFonts w:hint="eastAsia" w:ascii="宋体" w:hAnsi="宋体" w:eastAsia="宋体" w:cs="宋体"/>
                <w:color w:val="auto"/>
                <w:szCs w:val="21"/>
                <w:lang w:eastAsia="zh-CN"/>
              </w:rPr>
            </w:pPr>
            <w:r>
              <w:rPr>
                <w:rFonts w:hint="eastAsia" w:ascii="宋体" w:hAnsi="宋体" w:cs="宋体"/>
                <w:b/>
                <w:bCs/>
                <w:color w:val="auto"/>
                <w:szCs w:val="21"/>
                <w:lang w:eastAsia="zh-CN"/>
              </w:rPr>
              <w:t>价格部分</w:t>
            </w:r>
          </w:p>
        </w:tc>
        <w:tc>
          <w:tcPr>
            <w:tcW w:w="1087" w:type="dxa"/>
            <w:noWrap w:val="0"/>
            <w:vAlign w:val="center"/>
          </w:tcPr>
          <w:p w14:paraId="74AF0A92">
            <w:pPr>
              <w:jc w:val="center"/>
              <w:rPr>
                <w:rFonts w:hint="eastAsia"/>
                <w:color w:val="auto"/>
                <w:szCs w:val="21"/>
                <w:highlight w:val="none"/>
              </w:rPr>
            </w:pPr>
            <w:r>
              <w:rPr>
                <w:rFonts w:hint="eastAsia" w:ascii="宋体" w:hAnsi="宋体" w:eastAsia="宋体" w:cs="宋体"/>
                <w:color w:val="auto"/>
                <w:szCs w:val="21"/>
              </w:rPr>
              <w:t>响应报价</w:t>
            </w:r>
          </w:p>
        </w:tc>
        <w:tc>
          <w:tcPr>
            <w:tcW w:w="6443" w:type="dxa"/>
            <w:noWrap w:val="0"/>
            <w:vAlign w:val="top"/>
          </w:tcPr>
          <w:p w14:paraId="38E87AE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响应报价得分＝（评审基准价/响应报价）×价格分值</w:t>
            </w:r>
          </w:p>
          <w:p w14:paraId="45DCF4B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zh-CN"/>
              </w:rPr>
              <w:t>（注：满足采购文件要求且响应价格最低的响应报价为评审基准价。最低报价不是成交的唯一依据。）</w:t>
            </w:r>
            <w:r>
              <w:rPr>
                <w:rFonts w:hint="eastAsia" w:ascii="宋体" w:eastAsia="宋体" w:cs="宋体"/>
                <w:bCs/>
                <w:color w:val="000000"/>
                <w:sz w:val="21"/>
                <w:szCs w:val="21"/>
                <w:lang w:val="zh-CN"/>
              </w:rPr>
              <w:t>本项最高得</w:t>
            </w:r>
            <w:r>
              <w:rPr>
                <w:rFonts w:hint="eastAsia" w:ascii="宋体" w:eastAsia="宋体" w:cs="宋体"/>
                <w:bCs/>
                <w:color w:val="000000"/>
                <w:sz w:val="21"/>
                <w:szCs w:val="21"/>
                <w:lang w:val="en-US" w:eastAsia="zh-CN"/>
              </w:rPr>
              <w:t>20分。</w:t>
            </w:r>
          </w:p>
        </w:tc>
        <w:tc>
          <w:tcPr>
            <w:tcW w:w="809" w:type="dxa"/>
            <w:noWrap w:val="0"/>
            <w:vAlign w:val="center"/>
          </w:tcPr>
          <w:p w14:paraId="51D6CD47">
            <w:pPr>
              <w:spacing w:line="360" w:lineRule="auto"/>
              <w:jc w:val="center"/>
              <w:rPr>
                <w:rFonts w:hint="default" w:ascii="宋体" w:hAnsi="宋体" w:cs="宋体"/>
                <w:color w:val="auto"/>
                <w:szCs w:val="21"/>
                <w:highlight w:val="none"/>
                <w:lang w:val="en-US" w:eastAsia="zh-CN"/>
              </w:rPr>
            </w:pPr>
            <w:r>
              <w:rPr>
                <w:rFonts w:hint="eastAsia" w:cs="Times New Roman"/>
                <w:lang w:val="en-US" w:eastAsia="zh-CN"/>
              </w:rPr>
              <w:t>2</w:t>
            </w:r>
            <w:r>
              <w:rPr>
                <w:rFonts w:hint="eastAsia" w:ascii="Times New Roman" w:hAnsi="Times New Roman" w:eastAsia="宋体" w:cs="Times New Roman"/>
                <w:lang w:val="en-US" w:eastAsia="zh-CN"/>
              </w:rPr>
              <w:t>0</w:t>
            </w:r>
            <w:r>
              <w:rPr>
                <w:rFonts w:hint="eastAsia" w:ascii="宋体" w:hAnsi="宋体" w:cs="宋体"/>
                <w:color w:val="auto"/>
                <w:szCs w:val="21"/>
                <w:highlight w:val="none"/>
                <w:lang w:val="en-US" w:eastAsia="zh-CN"/>
              </w:rPr>
              <w:t>分</w:t>
            </w:r>
          </w:p>
        </w:tc>
      </w:tr>
      <w:tr w14:paraId="46C0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17" w:type="dxa"/>
            <w:gridSpan w:val="3"/>
            <w:noWrap w:val="0"/>
            <w:vAlign w:val="center"/>
          </w:tcPr>
          <w:p w14:paraId="6BBFB595">
            <w:pPr>
              <w:spacing w:line="360" w:lineRule="auto"/>
              <w:jc w:val="center"/>
              <w:rPr>
                <w:rFonts w:ascii="宋体" w:hAnsi="宋体"/>
                <w:color w:val="auto"/>
                <w:szCs w:val="21"/>
              </w:rPr>
            </w:pPr>
            <w:r>
              <w:rPr>
                <w:rFonts w:hint="eastAsia" w:ascii="宋体" w:hAnsi="宋体"/>
                <w:color w:val="auto"/>
                <w:szCs w:val="21"/>
              </w:rPr>
              <w:t>合计</w:t>
            </w:r>
          </w:p>
        </w:tc>
        <w:tc>
          <w:tcPr>
            <w:tcW w:w="809" w:type="dxa"/>
            <w:noWrap w:val="0"/>
            <w:vAlign w:val="center"/>
          </w:tcPr>
          <w:p w14:paraId="36F63FEF">
            <w:pPr>
              <w:spacing w:line="360" w:lineRule="auto"/>
              <w:jc w:val="center"/>
              <w:rPr>
                <w:rFonts w:hint="eastAsia" w:ascii="宋体" w:hAnsi="宋体" w:eastAsia="宋体"/>
                <w:color w:val="auto"/>
                <w:lang w:eastAsia="zh-CN"/>
              </w:rPr>
            </w:pPr>
            <w:r>
              <w:rPr>
                <w:rFonts w:hint="eastAsia" w:ascii="Times New Roman" w:hAnsi="Times New Roman" w:eastAsia="宋体" w:cs="Times New Roman"/>
                <w:lang w:val="en-US" w:eastAsia="zh-CN"/>
              </w:rPr>
              <w:t>100</w:t>
            </w:r>
            <w:r>
              <w:rPr>
                <w:rFonts w:hint="eastAsia" w:ascii="宋体" w:hAnsi="宋体"/>
                <w:color w:val="auto"/>
                <w:lang w:eastAsia="zh-CN"/>
              </w:rPr>
              <w:t>分</w:t>
            </w:r>
          </w:p>
        </w:tc>
      </w:tr>
      <w:bookmarkEnd w:id="0"/>
    </w:tbl>
    <w:p w14:paraId="08908883">
      <w:pPr>
        <w:spacing w:line="360" w:lineRule="auto"/>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64840"/>
    <w:multiLevelType w:val="singleLevel"/>
    <w:tmpl w:val="F1D64840"/>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000000"/>
    <w:rsid w:val="00280D3D"/>
    <w:rsid w:val="004F7D60"/>
    <w:rsid w:val="005A2D64"/>
    <w:rsid w:val="00726F79"/>
    <w:rsid w:val="00E46AD2"/>
    <w:rsid w:val="00EB1C0E"/>
    <w:rsid w:val="0116312F"/>
    <w:rsid w:val="022632F0"/>
    <w:rsid w:val="03267819"/>
    <w:rsid w:val="045D1075"/>
    <w:rsid w:val="05BD6377"/>
    <w:rsid w:val="06E72E78"/>
    <w:rsid w:val="075E6575"/>
    <w:rsid w:val="077B0190"/>
    <w:rsid w:val="07AB423D"/>
    <w:rsid w:val="07F53FC7"/>
    <w:rsid w:val="085C484A"/>
    <w:rsid w:val="08CD207F"/>
    <w:rsid w:val="09570229"/>
    <w:rsid w:val="099A6E4E"/>
    <w:rsid w:val="09CF031F"/>
    <w:rsid w:val="0A3E104C"/>
    <w:rsid w:val="0A621193"/>
    <w:rsid w:val="0AA35A8D"/>
    <w:rsid w:val="0AC27E84"/>
    <w:rsid w:val="0ADF6709"/>
    <w:rsid w:val="0B031FF8"/>
    <w:rsid w:val="0B330D82"/>
    <w:rsid w:val="0B5252E0"/>
    <w:rsid w:val="0B5915B2"/>
    <w:rsid w:val="0BF63EFD"/>
    <w:rsid w:val="0C344DB1"/>
    <w:rsid w:val="0C871385"/>
    <w:rsid w:val="0D7C5016"/>
    <w:rsid w:val="0E3A4E39"/>
    <w:rsid w:val="0E5651F6"/>
    <w:rsid w:val="0E9B1118"/>
    <w:rsid w:val="0F0C1504"/>
    <w:rsid w:val="0FB36144"/>
    <w:rsid w:val="10001543"/>
    <w:rsid w:val="100B407B"/>
    <w:rsid w:val="113F222E"/>
    <w:rsid w:val="11CC5193"/>
    <w:rsid w:val="120450DA"/>
    <w:rsid w:val="12055A41"/>
    <w:rsid w:val="12C9238F"/>
    <w:rsid w:val="13157E18"/>
    <w:rsid w:val="135E0B3D"/>
    <w:rsid w:val="138A175B"/>
    <w:rsid w:val="14121DAC"/>
    <w:rsid w:val="142E20E6"/>
    <w:rsid w:val="15396F94"/>
    <w:rsid w:val="16012AC5"/>
    <w:rsid w:val="16AA0397"/>
    <w:rsid w:val="16B167CC"/>
    <w:rsid w:val="170610F8"/>
    <w:rsid w:val="17070B85"/>
    <w:rsid w:val="172211AC"/>
    <w:rsid w:val="18664ECD"/>
    <w:rsid w:val="198164B4"/>
    <w:rsid w:val="1A710F7F"/>
    <w:rsid w:val="1CA90EA4"/>
    <w:rsid w:val="1CB17D58"/>
    <w:rsid w:val="1CEB5018"/>
    <w:rsid w:val="1D090252"/>
    <w:rsid w:val="1D2A3A75"/>
    <w:rsid w:val="1D4F1A4B"/>
    <w:rsid w:val="2000702C"/>
    <w:rsid w:val="20531559"/>
    <w:rsid w:val="20E47C7B"/>
    <w:rsid w:val="21251678"/>
    <w:rsid w:val="21507B40"/>
    <w:rsid w:val="21636166"/>
    <w:rsid w:val="2182320C"/>
    <w:rsid w:val="21B73ED8"/>
    <w:rsid w:val="22291947"/>
    <w:rsid w:val="22596E88"/>
    <w:rsid w:val="22F524FB"/>
    <w:rsid w:val="230B0532"/>
    <w:rsid w:val="23234A89"/>
    <w:rsid w:val="23955CDE"/>
    <w:rsid w:val="23E83B9F"/>
    <w:rsid w:val="24406F1A"/>
    <w:rsid w:val="24791DF7"/>
    <w:rsid w:val="25A11649"/>
    <w:rsid w:val="25A8494F"/>
    <w:rsid w:val="25CD5C03"/>
    <w:rsid w:val="26013969"/>
    <w:rsid w:val="26D118D3"/>
    <w:rsid w:val="27B91B08"/>
    <w:rsid w:val="27EA6359"/>
    <w:rsid w:val="29CC4423"/>
    <w:rsid w:val="29D67FA4"/>
    <w:rsid w:val="2A2B739C"/>
    <w:rsid w:val="2A432D46"/>
    <w:rsid w:val="2A7169DD"/>
    <w:rsid w:val="2A9F7BB6"/>
    <w:rsid w:val="2ACD0453"/>
    <w:rsid w:val="2AEF13BE"/>
    <w:rsid w:val="2D0F545C"/>
    <w:rsid w:val="2D216834"/>
    <w:rsid w:val="2DB84096"/>
    <w:rsid w:val="2DCC4132"/>
    <w:rsid w:val="2E3B05C3"/>
    <w:rsid w:val="2EAB0AAB"/>
    <w:rsid w:val="2F1E2C53"/>
    <w:rsid w:val="2FAF2490"/>
    <w:rsid w:val="2FB97442"/>
    <w:rsid w:val="300915AF"/>
    <w:rsid w:val="304C1E1A"/>
    <w:rsid w:val="30D140CD"/>
    <w:rsid w:val="31BC4D7D"/>
    <w:rsid w:val="32B85545"/>
    <w:rsid w:val="32BE5998"/>
    <w:rsid w:val="32FC4A8D"/>
    <w:rsid w:val="32FC6616"/>
    <w:rsid w:val="330557AD"/>
    <w:rsid w:val="335324C8"/>
    <w:rsid w:val="33A672FD"/>
    <w:rsid w:val="34403A44"/>
    <w:rsid w:val="346534DC"/>
    <w:rsid w:val="347E456C"/>
    <w:rsid w:val="35080E33"/>
    <w:rsid w:val="352761F5"/>
    <w:rsid w:val="35EA1EB9"/>
    <w:rsid w:val="364D069A"/>
    <w:rsid w:val="36CD5A73"/>
    <w:rsid w:val="36EF0F28"/>
    <w:rsid w:val="37AD6244"/>
    <w:rsid w:val="37C568B0"/>
    <w:rsid w:val="380A3FE7"/>
    <w:rsid w:val="381454F7"/>
    <w:rsid w:val="38370059"/>
    <w:rsid w:val="391159AF"/>
    <w:rsid w:val="3A1A6AE5"/>
    <w:rsid w:val="3A2636DC"/>
    <w:rsid w:val="3ABB3E24"/>
    <w:rsid w:val="3BC136BC"/>
    <w:rsid w:val="3BDE4E43"/>
    <w:rsid w:val="3C2E0CC5"/>
    <w:rsid w:val="3CE33BBF"/>
    <w:rsid w:val="3DB2047D"/>
    <w:rsid w:val="3E141CB2"/>
    <w:rsid w:val="3E570EC6"/>
    <w:rsid w:val="3F283A52"/>
    <w:rsid w:val="3F6D1374"/>
    <w:rsid w:val="4024246B"/>
    <w:rsid w:val="40607ABC"/>
    <w:rsid w:val="40640ABA"/>
    <w:rsid w:val="413A60AB"/>
    <w:rsid w:val="41BA7132"/>
    <w:rsid w:val="42426B35"/>
    <w:rsid w:val="45AC718B"/>
    <w:rsid w:val="45ED50AE"/>
    <w:rsid w:val="45F95539"/>
    <w:rsid w:val="469E110E"/>
    <w:rsid w:val="479C6D8B"/>
    <w:rsid w:val="48364026"/>
    <w:rsid w:val="488241D3"/>
    <w:rsid w:val="49D62A28"/>
    <w:rsid w:val="4A9C1907"/>
    <w:rsid w:val="4AC8657C"/>
    <w:rsid w:val="4AF97CB6"/>
    <w:rsid w:val="4B6C4CC7"/>
    <w:rsid w:val="4BCB40E3"/>
    <w:rsid w:val="4BE5617B"/>
    <w:rsid w:val="4CA330E7"/>
    <w:rsid w:val="4CB07713"/>
    <w:rsid w:val="4CCD0706"/>
    <w:rsid w:val="4CF5766A"/>
    <w:rsid w:val="4CF87DD7"/>
    <w:rsid w:val="4DE84AD8"/>
    <w:rsid w:val="4E70527E"/>
    <w:rsid w:val="4E9B4F76"/>
    <w:rsid w:val="4EA10947"/>
    <w:rsid w:val="4F700B2E"/>
    <w:rsid w:val="51120D76"/>
    <w:rsid w:val="528E29ED"/>
    <w:rsid w:val="52901F11"/>
    <w:rsid w:val="529B480F"/>
    <w:rsid w:val="52F83F51"/>
    <w:rsid w:val="530C74BB"/>
    <w:rsid w:val="53121B8E"/>
    <w:rsid w:val="53C47D96"/>
    <w:rsid w:val="54B6171E"/>
    <w:rsid w:val="55706356"/>
    <w:rsid w:val="55D30AF4"/>
    <w:rsid w:val="563507BD"/>
    <w:rsid w:val="565F4ABA"/>
    <w:rsid w:val="568961D0"/>
    <w:rsid w:val="5733709E"/>
    <w:rsid w:val="574A05B2"/>
    <w:rsid w:val="574A1CB5"/>
    <w:rsid w:val="579059CE"/>
    <w:rsid w:val="57C55E8A"/>
    <w:rsid w:val="57F66416"/>
    <w:rsid w:val="58937570"/>
    <w:rsid w:val="58CB56FA"/>
    <w:rsid w:val="58DF2F7C"/>
    <w:rsid w:val="59E167D6"/>
    <w:rsid w:val="5A183E5F"/>
    <w:rsid w:val="5AF8598C"/>
    <w:rsid w:val="5B1213E7"/>
    <w:rsid w:val="5B231A45"/>
    <w:rsid w:val="5BB3149D"/>
    <w:rsid w:val="5C594DF3"/>
    <w:rsid w:val="5C6202FE"/>
    <w:rsid w:val="5D0766E2"/>
    <w:rsid w:val="5D5B20F3"/>
    <w:rsid w:val="5D5F7676"/>
    <w:rsid w:val="5DAB3A7E"/>
    <w:rsid w:val="5DC46F3E"/>
    <w:rsid w:val="5E525F9E"/>
    <w:rsid w:val="5E58282F"/>
    <w:rsid w:val="5E9216C5"/>
    <w:rsid w:val="5EC23ABB"/>
    <w:rsid w:val="5ECC67C9"/>
    <w:rsid w:val="5F075202"/>
    <w:rsid w:val="5F571ABE"/>
    <w:rsid w:val="5FA31F5D"/>
    <w:rsid w:val="5FF852C4"/>
    <w:rsid w:val="608D6F8C"/>
    <w:rsid w:val="60A54AAB"/>
    <w:rsid w:val="60B06A3A"/>
    <w:rsid w:val="60C8402D"/>
    <w:rsid w:val="62031A89"/>
    <w:rsid w:val="62061579"/>
    <w:rsid w:val="621C6FEF"/>
    <w:rsid w:val="62E775FD"/>
    <w:rsid w:val="62EA49F7"/>
    <w:rsid w:val="633B400F"/>
    <w:rsid w:val="63634DBE"/>
    <w:rsid w:val="645962D8"/>
    <w:rsid w:val="64942E0C"/>
    <w:rsid w:val="65683BA3"/>
    <w:rsid w:val="65BE17E0"/>
    <w:rsid w:val="65D900EA"/>
    <w:rsid w:val="65DE1C10"/>
    <w:rsid w:val="66A90E26"/>
    <w:rsid w:val="68332C5A"/>
    <w:rsid w:val="690B6A33"/>
    <w:rsid w:val="6ADF1456"/>
    <w:rsid w:val="6B0F149F"/>
    <w:rsid w:val="6B1D49E9"/>
    <w:rsid w:val="6C663340"/>
    <w:rsid w:val="6CCA5F8C"/>
    <w:rsid w:val="6D5D0BE7"/>
    <w:rsid w:val="6D61071B"/>
    <w:rsid w:val="6D9863E0"/>
    <w:rsid w:val="6E42305D"/>
    <w:rsid w:val="6F286276"/>
    <w:rsid w:val="6F413BF1"/>
    <w:rsid w:val="6F433E0D"/>
    <w:rsid w:val="6F490CF7"/>
    <w:rsid w:val="6F491DD6"/>
    <w:rsid w:val="6FC54822"/>
    <w:rsid w:val="6FD21F6F"/>
    <w:rsid w:val="70301438"/>
    <w:rsid w:val="70CC398E"/>
    <w:rsid w:val="70EF3AEB"/>
    <w:rsid w:val="71266A01"/>
    <w:rsid w:val="716D2988"/>
    <w:rsid w:val="72801080"/>
    <w:rsid w:val="72A262B6"/>
    <w:rsid w:val="72C74D55"/>
    <w:rsid w:val="72CD743C"/>
    <w:rsid w:val="73533D20"/>
    <w:rsid w:val="735A02FF"/>
    <w:rsid w:val="73644F94"/>
    <w:rsid w:val="739E1612"/>
    <w:rsid w:val="74F160B9"/>
    <w:rsid w:val="76790114"/>
    <w:rsid w:val="767A253F"/>
    <w:rsid w:val="76E23F0B"/>
    <w:rsid w:val="77D2097C"/>
    <w:rsid w:val="78281DF2"/>
    <w:rsid w:val="785C061A"/>
    <w:rsid w:val="78743289"/>
    <w:rsid w:val="7932248D"/>
    <w:rsid w:val="79366790"/>
    <w:rsid w:val="79E077E8"/>
    <w:rsid w:val="7A416DDF"/>
    <w:rsid w:val="7A6D7F90"/>
    <w:rsid w:val="7A97325F"/>
    <w:rsid w:val="7BBC35D3"/>
    <w:rsid w:val="7C023E77"/>
    <w:rsid w:val="7C232FFC"/>
    <w:rsid w:val="7C8415C1"/>
    <w:rsid w:val="7DDD71DA"/>
    <w:rsid w:val="7E114FDF"/>
    <w:rsid w:val="7E171E3C"/>
    <w:rsid w:val="7E3E26F6"/>
    <w:rsid w:val="7F51685D"/>
    <w:rsid w:val="7F8C2C66"/>
    <w:rsid w:val="7F945FBF"/>
    <w:rsid w:val="7FAE00C1"/>
    <w:rsid w:val="FED6F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60" w:lineRule="exact"/>
    </w:pPr>
    <w:rPr>
      <w:rFonts w:ascii="宋体" w:hAnsi="宋体" w:eastAsia="宋体"/>
      <w:sz w:val="21"/>
    </w:rPr>
  </w:style>
  <w:style w:type="paragraph" w:styleId="3">
    <w:name w:val="Normal Indent"/>
    <w:basedOn w:val="1"/>
    <w:qFormat/>
    <w:uiPriority w:val="0"/>
    <w:pPr>
      <w:widowControl w:val="0"/>
      <w:ind w:firstLine="420"/>
      <w:jc w:val="both"/>
    </w:pPr>
    <w:rPr>
      <w:kern w:val="2"/>
    </w:rPr>
  </w:style>
  <w:style w:type="paragraph" w:styleId="4">
    <w:name w:val="toc 5"/>
    <w:basedOn w:val="1"/>
    <w:next w:val="1"/>
    <w:qFormat/>
    <w:uiPriority w:val="0"/>
    <w:pPr>
      <w:ind w:left="840"/>
      <w:jc w:val="left"/>
    </w:pPr>
    <w:rPr>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9">
    <w:name w:val="正文缩进2格"/>
    <w:basedOn w:val="1"/>
    <w:qFormat/>
    <w:uiPriority w:val="0"/>
    <w:pPr>
      <w:widowControl w:val="0"/>
      <w:spacing w:line="600" w:lineRule="exact"/>
      <w:ind w:firstLine="639" w:firstLineChars="206"/>
      <w:jc w:val="both"/>
    </w:pPr>
    <w:rPr>
      <w:rFonts w:ascii="仿宋_GB2312" w:hAnsi="宋体" w:eastAsia="仿宋_GB2312"/>
      <w:kern w:val="2"/>
      <w:sz w:val="31"/>
      <w:szCs w:val="22"/>
    </w:rPr>
  </w:style>
  <w:style w:type="paragraph" w:customStyle="1" w:styleId="1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876</Words>
  <Characters>896</Characters>
  <Lines>0</Lines>
  <Paragraphs>0</Paragraphs>
  <TotalTime>6</TotalTime>
  <ScaleCrop>false</ScaleCrop>
  <LinksUpToDate>false</LinksUpToDate>
  <CharactersWithSpaces>902</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2024-07-26T16:44:00Z</dcterms:created>
  <dc:creator>Administrator</dc:creator>
  <cp:lastModifiedBy>梁美婷</cp:lastModifiedBy>
  <dcterms:modified xsi:type="dcterms:W3CDTF">2024-12-30T04:10:47Z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02B2CEDD716E4F19A56D5F9B3F777304_13</vt:lpwstr>
  </property>
</Properties>
</file>