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color w:val="auto"/>
          <w:sz w:val="36"/>
          <w:szCs w:val="36"/>
        </w:rPr>
      </w:pPr>
      <w:r>
        <w:rPr>
          <w:rFonts w:hint="eastAsia"/>
          <w:bCs/>
          <w:color w:val="auto"/>
          <w:sz w:val="28"/>
          <w:szCs w:val="28"/>
        </w:rPr>
        <w:t xml:space="preserve">附件1： </w:t>
      </w:r>
      <w:r>
        <w:rPr>
          <w:rFonts w:hint="eastAsia"/>
          <w:b/>
          <w:color w:val="auto"/>
          <w:sz w:val="32"/>
          <w:szCs w:val="32"/>
        </w:rPr>
        <w:t xml:space="preserve">             </w:t>
      </w:r>
      <w:r>
        <w:rPr>
          <w:rFonts w:hint="eastAsia"/>
          <w:b/>
          <w:color w:val="auto"/>
          <w:sz w:val="36"/>
          <w:szCs w:val="36"/>
        </w:rPr>
        <w:t xml:space="preserve"> </w:t>
      </w:r>
      <w:r>
        <w:rPr>
          <w:b/>
          <w:color w:val="auto"/>
          <w:sz w:val="36"/>
          <w:szCs w:val="36"/>
        </w:rPr>
        <w:t>用户需求书</w:t>
      </w:r>
    </w:p>
    <w:p>
      <w:pPr>
        <w:pStyle w:val="14"/>
        <w:ind w:firstLine="482"/>
        <w:rPr>
          <w:rFonts w:hint="eastAsia"/>
          <w:b/>
          <w:color w:val="000000"/>
          <w:highlight w:val="none"/>
        </w:rPr>
      </w:pPr>
    </w:p>
    <w:p>
      <w:pPr>
        <w:pStyle w:val="14"/>
        <w:ind w:firstLine="482"/>
        <w:rPr>
          <w:b/>
          <w:color w:val="000000"/>
          <w:highlight w:val="none"/>
        </w:rPr>
      </w:pPr>
      <w:r>
        <w:rPr>
          <w:rFonts w:hint="eastAsia"/>
          <w:b/>
          <w:color w:val="000000"/>
          <w:highlight w:val="none"/>
        </w:rPr>
        <w:t>总则</w:t>
      </w:r>
    </w:p>
    <w:p>
      <w:pPr>
        <w:pStyle w:val="14"/>
        <w:ind w:firstLine="480"/>
        <w:rPr>
          <w:color w:val="000000"/>
          <w:highlight w:val="none"/>
        </w:rPr>
      </w:pPr>
      <w:r>
        <w:rPr>
          <w:rFonts w:hint="eastAsia"/>
          <w:color w:val="000000"/>
          <w:highlight w:val="none"/>
        </w:rPr>
        <w:t>1、成交供应商必须按国家、行业的标准及采购文件的要求对本项目提供相应的货物及服务。</w:t>
      </w:r>
    </w:p>
    <w:p>
      <w:pPr>
        <w:pStyle w:val="14"/>
        <w:ind w:firstLine="480"/>
        <w:rPr>
          <w:color w:val="000000"/>
          <w:highlight w:val="none"/>
        </w:rPr>
      </w:pPr>
      <w:r>
        <w:rPr>
          <w:rFonts w:hint="eastAsia"/>
          <w:color w:val="000000"/>
          <w:highlight w:val="none"/>
        </w:rPr>
        <w:t>2、《用户需求书》中凡有“★”标识的内容条款(如有)被视为实质性响应项目、指标；</w:t>
      </w:r>
      <w:r>
        <w:rPr>
          <w:rFonts w:hint="eastAsia"/>
          <w:color w:val="000000"/>
          <w:highlight w:val="none"/>
          <w:lang w:val="en-US" w:eastAsia="zh-CN"/>
        </w:rPr>
        <w:t>响应供应商</w:t>
      </w:r>
      <w:r>
        <w:rPr>
          <w:rFonts w:hint="eastAsia"/>
          <w:color w:val="000000"/>
          <w:highlight w:val="none"/>
        </w:rPr>
        <w:t>必须对此做出回答并完全满足这些要求不可以出现任何负偏离，如果出现负偏离将被视为无效</w:t>
      </w:r>
      <w:r>
        <w:rPr>
          <w:rFonts w:hint="eastAsia"/>
          <w:color w:val="000000"/>
          <w:highlight w:val="none"/>
          <w:lang w:val="en-US" w:eastAsia="zh-CN"/>
        </w:rPr>
        <w:t>响应</w:t>
      </w:r>
      <w:r>
        <w:rPr>
          <w:rFonts w:hint="eastAsia"/>
          <w:color w:val="000000"/>
          <w:highlight w:val="none"/>
        </w:rPr>
        <w:t>。凡有“▲”的内容（如有）为重点评审项目，供应商必须对该标识项目按照要求进行真实应答描述。</w:t>
      </w:r>
    </w:p>
    <w:p>
      <w:pPr>
        <w:pStyle w:val="14"/>
        <w:ind w:firstLine="480"/>
        <w:rPr>
          <w:color w:val="000000"/>
          <w:highlight w:val="none"/>
        </w:rPr>
      </w:pPr>
      <w:r>
        <w:rPr>
          <w:rFonts w:hint="eastAsia"/>
          <w:color w:val="000000"/>
          <w:highlight w:val="none"/>
          <w:lang w:val="en-US" w:eastAsia="zh-CN"/>
        </w:rPr>
        <w:t>3</w:t>
      </w:r>
      <w:r>
        <w:rPr>
          <w:rFonts w:hint="eastAsia"/>
          <w:color w:val="000000"/>
          <w:highlight w:val="none"/>
        </w:rPr>
        <w:t>、本项目由成交供应商负责采购文件对成交供应商要求的一切事宜及责任。响应报价中不得包含采购文件要求以外的内容，否则，在评</w:t>
      </w:r>
      <w:r>
        <w:rPr>
          <w:rFonts w:hint="eastAsia"/>
          <w:color w:val="000000"/>
          <w:highlight w:val="none"/>
          <w:lang w:val="en-US" w:eastAsia="zh-CN"/>
        </w:rPr>
        <w:t>审</w:t>
      </w:r>
      <w:r>
        <w:rPr>
          <w:rFonts w:hint="eastAsia"/>
          <w:color w:val="000000"/>
          <w:highlight w:val="none"/>
        </w:rPr>
        <w:t>时不予核减；若</w:t>
      </w:r>
      <w:r>
        <w:rPr>
          <w:rFonts w:hint="eastAsia"/>
          <w:color w:val="000000"/>
          <w:highlight w:val="none"/>
          <w:lang w:val="en-US" w:eastAsia="zh-CN"/>
        </w:rPr>
        <w:t>响应</w:t>
      </w:r>
      <w:r>
        <w:rPr>
          <w:rFonts w:hint="eastAsia"/>
          <w:color w:val="000000"/>
          <w:highlight w:val="none"/>
        </w:rPr>
        <w:t>报价有缺漏项的，缺漏项部分的价格视为已包含在</w:t>
      </w:r>
      <w:r>
        <w:rPr>
          <w:rFonts w:hint="eastAsia"/>
          <w:color w:val="000000"/>
          <w:highlight w:val="none"/>
          <w:lang w:val="en-US" w:eastAsia="zh-CN"/>
        </w:rPr>
        <w:t>响应</w:t>
      </w:r>
      <w:r>
        <w:rPr>
          <w:rFonts w:hint="eastAsia"/>
          <w:color w:val="000000"/>
          <w:highlight w:val="none"/>
        </w:rPr>
        <w:t>报价中，成交后不作任何调整，采购人将不再支付任何费用。</w:t>
      </w:r>
    </w:p>
    <w:p>
      <w:pPr>
        <w:widowControl/>
        <w:tabs>
          <w:tab w:val="left" w:pos="636"/>
        </w:tabs>
        <w:autoSpaceDE w:val="0"/>
        <w:autoSpaceDN w:val="0"/>
        <w:spacing w:line="360" w:lineRule="auto"/>
        <w:ind w:firstLine="480" w:firstLineChars="200"/>
        <w:jc w:val="left"/>
        <w:textAlignment w:val="bottom"/>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4、本项目不允许提交备选方案，不允许联合体响应、转包或分包。</w:t>
      </w:r>
    </w:p>
    <w:p>
      <w:pPr>
        <w:pStyle w:val="3"/>
        <w:pageBreakBefore w:val="0"/>
        <w:kinsoku/>
        <w:overflowPunct/>
        <w:bidi w:val="0"/>
        <w:spacing w:before="0" w:after="0" w:line="360" w:lineRule="auto"/>
        <w:ind w:left="0" w:leftChars="0" w:firstLine="0" w:firstLineChars="0"/>
        <w:jc w:val="left"/>
        <w:rPr>
          <w:rFonts w:hint="eastAsia" w:ascii="仿宋" w:hAnsi="仿宋" w:eastAsia="仿宋" w:cs="仿宋"/>
          <w:sz w:val="24"/>
          <w:szCs w:val="24"/>
        </w:rPr>
      </w:pPr>
    </w:p>
    <w:p>
      <w:pPr>
        <w:pStyle w:val="14"/>
        <w:ind w:firstLine="482"/>
        <w:rPr>
          <w:rFonts w:hint="eastAsia" w:cs="Times New Roman"/>
          <w:b/>
          <w:color w:val="000000"/>
          <w:highlight w:val="none"/>
          <w:lang w:val="en-US" w:eastAsia="zh-CN"/>
        </w:rPr>
      </w:pPr>
      <w:r>
        <w:rPr>
          <w:rFonts w:hint="eastAsia" w:cs="Times New Roman"/>
          <w:b/>
          <w:color w:val="000000"/>
          <w:highlight w:val="none"/>
          <w:lang w:val="en-US" w:eastAsia="zh-CN"/>
        </w:rPr>
        <w:t>一、项目基本情况</w:t>
      </w:r>
    </w:p>
    <w:p>
      <w:pPr>
        <w:widowControl w:val="0"/>
        <w:numPr>
          <w:ilvl w:val="0"/>
          <w:numId w:val="1"/>
        </w:numPr>
        <w:spacing w:line="400" w:lineRule="exact"/>
        <w:jc w:val="both"/>
        <w:rPr>
          <w:rFonts w:ascii="宋体" w:hAnsi="宋体"/>
          <w:sz w:val="22"/>
          <w:szCs w:val="22"/>
        </w:rPr>
      </w:pPr>
      <w:r>
        <w:rPr>
          <w:rFonts w:hint="eastAsia" w:ascii="宋体" w:hAnsi="宋体"/>
          <w:sz w:val="22"/>
          <w:szCs w:val="22"/>
        </w:rPr>
        <w:t>项目名称：中山市黄圃人民医院移动护理系统</w:t>
      </w:r>
      <w:r>
        <w:rPr>
          <w:rFonts w:hint="eastAsia" w:ascii="宋体" w:hAnsi="宋体"/>
          <w:sz w:val="22"/>
          <w:szCs w:val="22"/>
          <w:lang w:val="en-US" w:eastAsia="zh-CN"/>
        </w:rPr>
        <w:t>服务</w:t>
      </w:r>
    </w:p>
    <w:p>
      <w:pPr>
        <w:widowControl w:val="0"/>
        <w:numPr>
          <w:ilvl w:val="0"/>
          <w:numId w:val="1"/>
        </w:numPr>
        <w:spacing w:line="400" w:lineRule="exact"/>
        <w:jc w:val="both"/>
        <w:rPr>
          <w:rFonts w:ascii="宋体" w:hAnsi="宋体"/>
          <w:sz w:val="22"/>
          <w:szCs w:val="22"/>
        </w:rPr>
      </w:pPr>
      <w:r>
        <w:rPr>
          <w:rFonts w:hint="eastAsia" w:ascii="宋体" w:hAnsi="宋体"/>
          <w:sz w:val="22"/>
          <w:szCs w:val="22"/>
        </w:rPr>
        <w:t>项目概况：中山市黄圃人民医院移动护理信息管理系统于2017年即开始建设，2018年所有PDA硬件即已投入测试使用，并于2020年投入正式运行，后经历医院大楼搬迁、系统升级等情况至今已使用六年时间。项目维护服务于2</w:t>
      </w:r>
      <w:r>
        <w:rPr>
          <w:rFonts w:ascii="宋体" w:hAnsi="宋体"/>
          <w:sz w:val="22"/>
          <w:szCs w:val="22"/>
        </w:rPr>
        <w:t>024</w:t>
      </w:r>
      <w:r>
        <w:rPr>
          <w:rFonts w:hint="eastAsia" w:ascii="宋体" w:hAnsi="宋体"/>
          <w:sz w:val="22"/>
          <w:szCs w:val="22"/>
        </w:rPr>
        <w:t>年1</w:t>
      </w:r>
      <w:r>
        <w:rPr>
          <w:rFonts w:ascii="宋体" w:hAnsi="宋体"/>
          <w:sz w:val="22"/>
          <w:szCs w:val="22"/>
        </w:rPr>
        <w:t>2</w:t>
      </w:r>
      <w:r>
        <w:rPr>
          <w:rFonts w:hint="eastAsia" w:ascii="宋体" w:hAnsi="宋体"/>
          <w:sz w:val="22"/>
          <w:szCs w:val="22"/>
        </w:rPr>
        <w:t>月3</w:t>
      </w:r>
      <w:r>
        <w:rPr>
          <w:rFonts w:ascii="宋体" w:hAnsi="宋体"/>
          <w:sz w:val="22"/>
          <w:szCs w:val="22"/>
        </w:rPr>
        <w:t>1</w:t>
      </w:r>
      <w:r>
        <w:rPr>
          <w:rFonts w:hint="eastAsia" w:ascii="宋体" w:hAnsi="宋体"/>
          <w:sz w:val="22"/>
          <w:szCs w:val="22"/>
        </w:rPr>
        <w:t>日到期，后续存在</w:t>
      </w:r>
      <w:r>
        <w:rPr>
          <w:rFonts w:ascii="宋体" w:hAnsi="宋体"/>
          <w:sz w:val="22"/>
          <w:szCs w:val="22"/>
        </w:rPr>
        <w:t>系统</w:t>
      </w:r>
      <w:r>
        <w:rPr>
          <w:rFonts w:hint="eastAsia" w:ascii="宋体" w:hAnsi="宋体"/>
          <w:sz w:val="22"/>
          <w:szCs w:val="22"/>
        </w:rPr>
        <w:t>出现软</w:t>
      </w:r>
      <w:r>
        <w:rPr>
          <w:rFonts w:ascii="宋体" w:hAnsi="宋体"/>
          <w:sz w:val="22"/>
          <w:szCs w:val="22"/>
        </w:rPr>
        <w:t>硬件</w:t>
      </w:r>
      <w:r>
        <w:rPr>
          <w:rFonts w:hint="eastAsia" w:ascii="宋体" w:hAnsi="宋体"/>
          <w:sz w:val="22"/>
          <w:szCs w:val="22"/>
        </w:rPr>
        <w:t>故障无法</w:t>
      </w:r>
      <w:r>
        <w:rPr>
          <w:rFonts w:ascii="宋体" w:hAnsi="宋体"/>
          <w:sz w:val="22"/>
          <w:szCs w:val="22"/>
        </w:rPr>
        <w:t>及时维护的风险</w:t>
      </w:r>
      <w:r>
        <w:rPr>
          <w:rFonts w:hint="eastAsia" w:ascii="宋体" w:hAnsi="宋体"/>
          <w:sz w:val="22"/>
          <w:szCs w:val="22"/>
        </w:rPr>
        <w:t>，保证该系统后续的正常使用成了迫切需要解决的问题。为继续保障临床护理日常使用需求，需对移动护理信息系统提供维护服务。</w:t>
      </w:r>
    </w:p>
    <w:p>
      <w:pPr>
        <w:pStyle w:val="14"/>
        <w:ind w:firstLine="482"/>
        <w:rPr>
          <w:rFonts w:hint="eastAsia" w:cs="Times New Roman"/>
          <w:b/>
          <w:color w:val="000000"/>
          <w:highlight w:val="none"/>
          <w:lang w:val="en-US" w:eastAsia="zh-CN"/>
        </w:rPr>
      </w:pPr>
    </w:p>
    <w:p>
      <w:pPr>
        <w:pStyle w:val="14"/>
        <w:ind w:firstLine="482"/>
        <w:rPr>
          <w:rFonts w:hint="eastAsia" w:cs="Times New Roman"/>
          <w:b/>
          <w:color w:val="000000"/>
          <w:highlight w:val="none"/>
          <w:lang w:val="en-US" w:eastAsia="zh-CN"/>
        </w:rPr>
      </w:pPr>
      <w:r>
        <w:rPr>
          <w:rFonts w:hint="eastAsia" w:cs="Times New Roman"/>
          <w:b/>
          <w:color w:val="000000"/>
          <w:highlight w:val="none"/>
          <w:lang w:val="en-US" w:eastAsia="zh-CN"/>
        </w:rPr>
        <w:t>二、技术要求</w:t>
      </w:r>
    </w:p>
    <w:p>
      <w:pPr>
        <w:widowControl w:val="0"/>
        <w:numPr>
          <w:ilvl w:val="0"/>
          <w:numId w:val="2"/>
        </w:numPr>
        <w:tabs>
          <w:tab w:val="clear" w:pos="780"/>
        </w:tabs>
        <w:spacing w:line="400" w:lineRule="exact"/>
        <w:jc w:val="both"/>
        <w:rPr>
          <w:rFonts w:ascii="宋体" w:hAnsi="宋体"/>
          <w:b/>
          <w:sz w:val="22"/>
          <w:szCs w:val="22"/>
        </w:rPr>
      </w:pPr>
      <w:r>
        <w:rPr>
          <w:rFonts w:hint="eastAsia" w:ascii="宋体" w:hAnsi="宋体"/>
          <w:b/>
          <w:sz w:val="22"/>
          <w:szCs w:val="22"/>
        </w:rPr>
        <w:t>专用网络服务</w:t>
      </w:r>
    </w:p>
    <w:p>
      <w:pPr>
        <w:widowControl w:val="0"/>
        <w:spacing w:line="400" w:lineRule="exact"/>
        <w:ind w:left="780"/>
        <w:jc w:val="both"/>
        <w:rPr>
          <w:rFonts w:ascii="宋体" w:hAnsi="宋体"/>
          <w:sz w:val="22"/>
          <w:szCs w:val="22"/>
        </w:rPr>
      </w:pPr>
      <w:r>
        <w:rPr>
          <w:rFonts w:hint="eastAsia" w:ascii="宋体" w:hAnsi="宋体"/>
          <w:sz w:val="22"/>
          <w:szCs w:val="22"/>
        </w:rPr>
        <w:t>项目包含</w:t>
      </w:r>
      <w:r>
        <w:rPr>
          <w:rFonts w:hint="eastAsia" w:ascii="宋体" w:hAnsi="宋体"/>
          <w:sz w:val="22"/>
          <w:szCs w:val="22"/>
          <w:lang w:val="en-US" w:eastAsia="zh-CN"/>
        </w:rPr>
        <w:t>80</w:t>
      </w:r>
      <w:r>
        <w:rPr>
          <w:rFonts w:hint="eastAsia" w:ascii="宋体" w:hAnsi="宋体"/>
          <w:sz w:val="22"/>
          <w:szCs w:val="22"/>
        </w:rPr>
        <w:t>张流量卡（原来7</w:t>
      </w:r>
      <w:r>
        <w:rPr>
          <w:rFonts w:ascii="宋体" w:hAnsi="宋体"/>
          <w:sz w:val="22"/>
          <w:szCs w:val="22"/>
        </w:rPr>
        <w:t>5</w:t>
      </w:r>
      <w:r>
        <w:rPr>
          <w:rFonts w:hint="eastAsia" w:ascii="宋体" w:hAnsi="宋体"/>
          <w:sz w:val="22"/>
          <w:szCs w:val="22"/>
        </w:rPr>
        <w:t>张，新增</w:t>
      </w:r>
      <w:r>
        <w:rPr>
          <w:rFonts w:ascii="宋体" w:hAnsi="宋体"/>
          <w:sz w:val="22"/>
          <w:szCs w:val="22"/>
        </w:rPr>
        <w:t>5</w:t>
      </w:r>
      <w:r>
        <w:rPr>
          <w:rFonts w:hint="eastAsia" w:ascii="宋体" w:hAnsi="宋体"/>
          <w:sz w:val="22"/>
          <w:szCs w:val="22"/>
        </w:rPr>
        <w:t>张），通过无线VPDN专网连接医院内网服务器。维保要求</w:t>
      </w:r>
      <w:r>
        <w:rPr>
          <w:rFonts w:ascii="宋体" w:hAnsi="宋体"/>
          <w:sz w:val="22"/>
          <w:szCs w:val="22"/>
        </w:rPr>
        <w:t>如下</w:t>
      </w:r>
      <w:r>
        <w:rPr>
          <w:rFonts w:hint="eastAsia" w:ascii="宋体" w:hAnsi="宋体"/>
          <w:sz w:val="22"/>
          <w:szCs w:val="22"/>
        </w:rPr>
        <w:t>：</w:t>
      </w:r>
    </w:p>
    <w:tbl>
      <w:tblPr>
        <w:tblStyle w:val="9"/>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75"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jc w:val="center"/>
              <w:rPr>
                <w:rFonts w:hint="eastAsia" w:ascii="宋体" w:hAnsi="宋体"/>
                <w:b/>
                <w:bCs/>
                <w:color w:val="000000"/>
                <w:sz w:val="22"/>
                <w:szCs w:val="22"/>
              </w:rPr>
            </w:pPr>
            <w:r>
              <w:rPr>
                <w:rFonts w:hint="eastAsia" w:ascii="宋体" w:hAnsi="宋体"/>
                <w:b/>
                <w:bCs/>
                <w:color w:val="000000"/>
                <w:sz w:val="22"/>
                <w:szCs w:val="22"/>
              </w:rPr>
              <w:t>序号</w:t>
            </w:r>
          </w:p>
        </w:tc>
        <w:tc>
          <w:tcPr>
            <w:tcW w:w="6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b/>
                <w:bCs/>
                <w:color w:val="000000"/>
                <w:sz w:val="22"/>
                <w:szCs w:val="22"/>
              </w:rPr>
            </w:pPr>
            <w:r>
              <w:rPr>
                <w:rFonts w:hint="eastAsia" w:ascii="宋体" w:hAnsi="宋体"/>
                <w:b/>
                <w:bCs/>
                <w:color w:val="00000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使用无线网络+</w:t>
            </w:r>
            <w:r>
              <w:rPr>
                <w:rFonts w:ascii="宋体" w:hAnsi="宋体"/>
                <w:sz w:val="22"/>
                <w:szCs w:val="22"/>
              </w:rPr>
              <w:t>VPDN</w:t>
            </w:r>
            <w:r>
              <w:rPr>
                <w:rFonts w:hint="eastAsia" w:ascii="宋体" w:hAnsi="宋体"/>
                <w:sz w:val="22"/>
                <w:szCs w:val="22"/>
              </w:rPr>
              <w:t>专线的广域内网模式。</w:t>
            </w:r>
          </w:p>
          <w:p>
            <w:pPr>
              <w:rPr>
                <w:rFonts w:ascii="宋体" w:hAnsi="宋体"/>
                <w:sz w:val="22"/>
                <w:szCs w:val="22"/>
              </w:rPr>
            </w:pPr>
            <w:r>
              <w:rPr>
                <w:rFonts w:hint="eastAsia" w:ascii="宋体" w:hAnsi="宋体"/>
                <w:sz w:val="22"/>
                <w:szCs w:val="22"/>
              </w:rPr>
              <w:t>网络数据传输采用独立于通信与网络流量的单独通讯信道。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无线网络要求院内各病区全面覆盖。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3</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20兆数据保密专线。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4</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lang w:val="en-US" w:eastAsia="zh-CN"/>
              </w:rPr>
              <w:t>服务</w:t>
            </w:r>
            <w:r>
              <w:rPr>
                <w:rFonts w:hint="eastAsia" w:ascii="宋体" w:hAnsi="宋体"/>
                <w:sz w:val="22"/>
                <w:szCs w:val="22"/>
              </w:rPr>
              <w:t>期间将保证</w:t>
            </w:r>
            <w:r>
              <w:rPr>
                <w:rFonts w:hint="eastAsia" w:ascii="宋体" w:hAnsi="宋体"/>
                <w:sz w:val="22"/>
                <w:szCs w:val="22"/>
                <w:lang w:val="en-US" w:eastAsia="zh-CN"/>
              </w:rPr>
              <w:t>8</w:t>
            </w:r>
            <w:r>
              <w:rPr>
                <w:rFonts w:ascii="宋体" w:hAnsi="宋体"/>
                <w:sz w:val="22"/>
                <w:szCs w:val="22"/>
              </w:rPr>
              <w:t>0</w:t>
            </w:r>
            <w:r>
              <w:rPr>
                <w:rFonts w:hint="eastAsia" w:ascii="宋体" w:hAnsi="宋体"/>
                <w:sz w:val="22"/>
                <w:szCs w:val="22"/>
              </w:rPr>
              <w:t>张（原来75张，新增5张）流量卡以及专网的正常使用。</w:t>
            </w:r>
          </w:p>
        </w:tc>
      </w:tr>
    </w:tbl>
    <w:p>
      <w:pPr>
        <w:widowControl w:val="0"/>
        <w:spacing w:line="400" w:lineRule="exact"/>
        <w:ind w:left="780"/>
        <w:jc w:val="both"/>
        <w:rPr>
          <w:rFonts w:ascii="宋体" w:hAnsi="宋体"/>
          <w:sz w:val="22"/>
          <w:szCs w:val="22"/>
        </w:rPr>
      </w:pPr>
    </w:p>
    <w:p>
      <w:pPr>
        <w:widowControl w:val="0"/>
        <w:numPr>
          <w:ilvl w:val="0"/>
          <w:numId w:val="2"/>
        </w:numPr>
        <w:spacing w:line="400" w:lineRule="exact"/>
        <w:jc w:val="both"/>
        <w:rPr>
          <w:rFonts w:ascii="宋体" w:hAnsi="宋体"/>
          <w:b/>
          <w:sz w:val="22"/>
          <w:szCs w:val="22"/>
        </w:rPr>
      </w:pPr>
      <w:r>
        <w:rPr>
          <w:rFonts w:hint="eastAsia" w:ascii="宋体" w:hAnsi="宋体"/>
          <w:b/>
          <w:sz w:val="22"/>
          <w:szCs w:val="22"/>
        </w:rPr>
        <w:t>软件运维服务</w:t>
      </w:r>
    </w:p>
    <w:p>
      <w:pPr>
        <w:widowControl w:val="0"/>
        <w:spacing w:line="400" w:lineRule="exact"/>
        <w:ind w:left="780"/>
        <w:jc w:val="both"/>
        <w:rPr>
          <w:rFonts w:ascii="宋体" w:hAnsi="宋体"/>
          <w:sz w:val="22"/>
          <w:szCs w:val="22"/>
        </w:rPr>
      </w:pPr>
      <w:r>
        <w:rPr>
          <w:rFonts w:hint="eastAsia" w:ascii="宋体" w:hAnsi="宋体"/>
          <w:sz w:val="22"/>
          <w:szCs w:val="22"/>
        </w:rPr>
        <w:t>项目包含1套移动护理软件平台，</w:t>
      </w:r>
      <w:r>
        <w:rPr>
          <w:rFonts w:hint="eastAsia" w:ascii="宋体" w:hAnsi="宋体"/>
          <w:sz w:val="22"/>
          <w:szCs w:val="22"/>
          <w:lang w:val="en-US" w:eastAsia="zh-CN"/>
        </w:rPr>
        <w:t>服务</w:t>
      </w:r>
      <w:r>
        <w:rPr>
          <w:rFonts w:hint="eastAsia" w:ascii="宋体" w:hAnsi="宋体"/>
          <w:sz w:val="22"/>
          <w:szCs w:val="22"/>
        </w:rPr>
        <w:t>期间将提供终端侧APP、服务器侧的软件调测、故障排查、接口适配、终端适配等日常运维服务。</w:t>
      </w:r>
    </w:p>
    <w:p>
      <w:pPr>
        <w:widowControl w:val="0"/>
        <w:spacing w:line="400" w:lineRule="exact"/>
        <w:ind w:left="780"/>
        <w:jc w:val="both"/>
        <w:rPr>
          <w:rFonts w:ascii="宋体" w:hAnsi="宋体"/>
          <w:sz w:val="22"/>
          <w:szCs w:val="22"/>
        </w:rPr>
      </w:pPr>
      <w:r>
        <w:rPr>
          <w:rFonts w:hint="eastAsia" w:ascii="宋体" w:hAnsi="宋体"/>
          <w:sz w:val="22"/>
          <w:szCs w:val="22"/>
        </w:rPr>
        <w:t>运维移动护理系统软件故障排查、接口适配、终端适配，确保系统的使用。若因</w:t>
      </w:r>
      <w:r>
        <w:rPr>
          <w:rFonts w:hint="eastAsia" w:ascii="宋体" w:hAnsi="宋体"/>
          <w:sz w:val="22"/>
          <w:szCs w:val="22"/>
          <w:lang w:eastAsia="zh-CN"/>
        </w:rPr>
        <w:t>成交供应商</w:t>
      </w:r>
      <w:r>
        <w:rPr>
          <w:rFonts w:hint="eastAsia" w:ascii="宋体" w:hAnsi="宋体"/>
          <w:sz w:val="22"/>
          <w:szCs w:val="22"/>
        </w:rPr>
        <w:t>原因导致项目维保</w:t>
      </w:r>
      <w:r>
        <w:rPr>
          <w:rFonts w:ascii="宋体" w:hAnsi="宋体"/>
          <w:sz w:val="22"/>
          <w:szCs w:val="22"/>
        </w:rPr>
        <w:t>服务</w:t>
      </w:r>
      <w:r>
        <w:rPr>
          <w:rFonts w:hint="eastAsia" w:ascii="宋体" w:hAnsi="宋体"/>
          <w:sz w:val="22"/>
          <w:szCs w:val="22"/>
        </w:rPr>
        <w:t>延期、系统无法运行、医疗数据的灭失，由此所产生的一切经济及法律的后果由</w:t>
      </w:r>
      <w:r>
        <w:rPr>
          <w:rFonts w:hint="eastAsia" w:ascii="宋体" w:hAnsi="宋体"/>
          <w:sz w:val="22"/>
          <w:szCs w:val="22"/>
          <w:lang w:eastAsia="zh-CN"/>
        </w:rPr>
        <w:t>成交供应商</w:t>
      </w:r>
      <w:r>
        <w:rPr>
          <w:rFonts w:hint="eastAsia" w:ascii="宋体" w:hAnsi="宋体"/>
          <w:sz w:val="22"/>
          <w:szCs w:val="22"/>
        </w:rPr>
        <w:t>负责，</w:t>
      </w:r>
      <w:r>
        <w:rPr>
          <w:rFonts w:hint="eastAsia" w:ascii="宋体" w:hAnsi="宋体"/>
          <w:sz w:val="22"/>
          <w:szCs w:val="22"/>
          <w:lang w:eastAsia="zh-CN"/>
        </w:rPr>
        <w:t>采购人</w:t>
      </w:r>
      <w:r>
        <w:rPr>
          <w:rFonts w:hint="eastAsia" w:ascii="宋体" w:hAnsi="宋体"/>
          <w:sz w:val="22"/>
          <w:szCs w:val="22"/>
        </w:rPr>
        <w:t>有权</w:t>
      </w:r>
      <w:r>
        <w:rPr>
          <w:rFonts w:ascii="宋体" w:hAnsi="宋体"/>
          <w:sz w:val="22"/>
          <w:szCs w:val="22"/>
        </w:rPr>
        <w:t>废除合同并追究</w:t>
      </w:r>
      <w:r>
        <w:rPr>
          <w:rFonts w:hint="eastAsia" w:ascii="宋体" w:hAnsi="宋体"/>
          <w:sz w:val="22"/>
          <w:szCs w:val="22"/>
          <w:lang w:eastAsia="zh-CN"/>
        </w:rPr>
        <w:t>成交供应商</w:t>
      </w:r>
      <w:r>
        <w:rPr>
          <w:rFonts w:ascii="宋体" w:hAnsi="宋体"/>
          <w:sz w:val="22"/>
          <w:szCs w:val="22"/>
        </w:rPr>
        <w:t>违约责任</w:t>
      </w:r>
      <w:r>
        <w:rPr>
          <w:rFonts w:hint="eastAsia" w:ascii="宋体" w:hAnsi="宋体"/>
          <w:sz w:val="22"/>
          <w:szCs w:val="22"/>
        </w:rPr>
        <w:t>。</w:t>
      </w:r>
    </w:p>
    <w:p>
      <w:pPr>
        <w:widowControl w:val="0"/>
        <w:numPr>
          <w:ilvl w:val="0"/>
          <w:numId w:val="2"/>
        </w:numPr>
        <w:spacing w:line="400" w:lineRule="exact"/>
        <w:jc w:val="both"/>
        <w:rPr>
          <w:rFonts w:ascii="宋体" w:hAnsi="宋体"/>
          <w:b/>
          <w:sz w:val="22"/>
          <w:szCs w:val="22"/>
        </w:rPr>
      </w:pPr>
      <w:r>
        <w:rPr>
          <w:rFonts w:hint="eastAsia" w:ascii="宋体" w:hAnsi="宋体"/>
          <w:b/>
          <w:sz w:val="22"/>
          <w:szCs w:val="22"/>
        </w:rPr>
        <w:t>硬件维保服务</w:t>
      </w:r>
    </w:p>
    <w:p>
      <w:pPr>
        <w:widowControl w:val="0"/>
        <w:tabs>
          <w:tab w:val="left" w:pos="780"/>
        </w:tabs>
        <w:spacing w:line="400" w:lineRule="exact"/>
        <w:ind w:left="780"/>
        <w:jc w:val="both"/>
        <w:rPr>
          <w:rFonts w:ascii="宋体" w:hAnsi="宋体"/>
          <w:sz w:val="22"/>
          <w:szCs w:val="22"/>
        </w:rPr>
      </w:pPr>
      <w:r>
        <w:rPr>
          <w:rFonts w:hint="eastAsia" w:ascii="宋体" w:hAnsi="宋体"/>
          <w:sz w:val="22"/>
          <w:szCs w:val="22"/>
        </w:rPr>
        <w:t>部分科室终端已损坏无法使用，为保障终端配件日常损耗，</w:t>
      </w:r>
      <w:r>
        <w:rPr>
          <w:rFonts w:hint="eastAsia" w:ascii="宋体" w:hAnsi="宋体"/>
          <w:sz w:val="22"/>
          <w:szCs w:val="22"/>
          <w:lang w:val="en-US" w:eastAsia="zh-CN"/>
        </w:rPr>
        <w:t>服务</w:t>
      </w:r>
      <w:r>
        <w:rPr>
          <w:rFonts w:hint="eastAsia" w:ascii="宋体" w:hAnsi="宋体"/>
          <w:sz w:val="22"/>
          <w:szCs w:val="22"/>
        </w:rPr>
        <w:t>期</w:t>
      </w:r>
      <w:r>
        <w:rPr>
          <w:rFonts w:ascii="宋体" w:hAnsi="宋体"/>
          <w:sz w:val="22"/>
          <w:szCs w:val="22"/>
        </w:rPr>
        <w:t>内</w:t>
      </w:r>
      <w:r>
        <w:rPr>
          <w:rFonts w:hint="eastAsia" w:ascii="宋体" w:hAnsi="宋体"/>
          <w:sz w:val="22"/>
          <w:szCs w:val="22"/>
        </w:rPr>
        <w:t>需提供部分易损易耗配件，并包含所有终端配件一年内的维修；</w:t>
      </w:r>
    </w:p>
    <w:p>
      <w:pPr>
        <w:widowControl w:val="0"/>
        <w:numPr>
          <w:ilvl w:val="0"/>
          <w:numId w:val="2"/>
        </w:numPr>
        <w:spacing w:line="400" w:lineRule="exact"/>
        <w:jc w:val="both"/>
        <w:rPr>
          <w:rFonts w:ascii="宋体" w:hAnsi="宋体"/>
          <w:b/>
          <w:sz w:val="22"/>
          <w:szCs w:val="22"/>
        </w:rPr>
      </w:pPr>
      <w:r>
        <w:rPr>
          <w:rFonts w:hint="eastAsia" w:ascii="宋体" w:hAnsi="宋体"/>
          <w:b/>
          <w:sz w:val="22"/>
          <w:szCs w:val="22"/>
        </w:rPr>
        <w:t>新购终端</w:t>
      </w:r>
    </w:p>
    <w:p>
      <w:pPr>
        <w:widowControl w:val="0"/>
        <w:tabs>
          <w:tab w:val="left" w:pos="780"/>
        </w:tabs>
        <w:spacing w:line="400" w:lineRule="exact"/>
        <w:ind w:left="780"/>
        <w:jc w:val="both"/>
        <w:rPr>
          <w:rFonts w:ascii="宋体" w:hAnsi="宋体"/>
          <w:sz w:val="22"/>
          <w:szCs w:val="22"/>
        </w:rPr>
      </w:pPr>
      <w:r>
        <w:rPr>
          <w:rFonts w:hint="eastAsia" w:ascii="宋体" w:hAnsi="宋体"/>
          <w:sz w:val="22"/>
          <w:szCs w:val="22"/>
        </w:rPr>
        <w:t>新购</w:t>
      </w:r>
      <w:r>
        <w:rPr>
          <w:rFonts w:hint="eastAsia" w:ascii="宋体" w:hAnsi="宋体"/>
          <w:sz w:val="22"/>
          <w:szCs w:val="22"/>
          <w:lang w:val="en-US" w:eastAsia="zh-CN"/>
        </w:rPr>
        <w:t>2</w:t>
      </w:r>
      <w:r>
        <w:rPr>
          <w:rFonts w:ascii="宋体" w:hAnsi="宋体"/>
          <w:sz w:val="22"/>
          <w:szCs w:val="22"/>
        </w:rPr>
        <w:t>5</w:t>
      </w:r>
      <w:r>
        <w:rPr>
          <w:rFonts w:hint="eastAsia" w:ascii="宋体" w:hAnsi="宋体"/>
          <w:sz w:val="22"/>
          <w:szCs w:val="22"/>
        </w:rPr>
        <w:t>台PDA终端，新购PDA终端含故障检测及维修服务</w:t>
      </w:r>
    </w:p>
    <w:p>
      <w:pPr>
        <w:pStyle w:val="14"/>
        <w:ind w:firstLine="482"/>
        <w:rPr>
          <w:rFonts w:hint="eastAsia" w:cs="Times New Roman"/>
          <w:b/>
          <w:color w:val="000000"/>
          <w:highlight w:val="none"/>
          <w:lang w:val="en-US" w:eastAsia="zh-CN"/>
        </w:rPr>
      </w:pPr>
    </w:p>
    <w:p>
      <w:pPr>
        <w:pStyle w:val="14"/>
        <w:ind w:firstLine="482"/>
        <w:rPr>
          <w:rFonts w:hint="eastAsia" w:cs="Times New Roman"/>
          <w:b/>
          <w:color w:val="000000"/>
          <w:highlight w:val="none"/>
          <w:lang w:val="en-US" w:eastAsia="zh-CN"/>
        </w:rPr>
      </w:pPr>
      <w:r>
        <w:rPr>
          <w:rFonts w:hint="eastAsia" w:cs="Times New Roman"/>
          <w:b/>
          <w:color w:val="000000"/>
          <w:highlight w:val="none"/>
          <w:lang w:val="en-US" w:eastAsia="zh-CN"/>
        </w:rPr>
        <w:t>三、项目清单</w:t>
      </w:r>
    </w:p>
    <w:p/>
    <w:tbl>
      <w:tblPr>
        <w:tblStyle w:val="9"/>
        <w:tblW w:w="8575" w:type="dxa"/>
        <w:tblInd w:w="-5" w:type="dxa"/>
        <w:tblLayout w:type="fixed"/>
        <w:tblCellMar>
          <w:top w:w="0" w:type="dxa"/>
          <w:left w:w="108" w:type="dxa"/>
          <w:bottom w:w="0" w:type="dxa"/>
          <w:right w:w="108" w:type="dxa"/>
        </w:tblCellMar>
      </w:tblPr>
      <w:tblGrid>
        <w:gridCol w:w="866"/>
        <w:gridCol w:w="1685"/>
        <w:gridCol w:w="3830"/>
        <w:gridCol w:w="1091"/>
        <w:gridCol w:w="1103"/>
      </w:tblGrid>
      <w:tr>
        <w:tblPrEx>
          <w:tblCellMar>
            <w:top w:w="0" w:type="dxa"/>
            <w:left w:w="108" w:type="dxa"/>
            <w:bottom w:w="0" w:type="dxa"/>
            <w:right w:w="108" w:type="dxa"/>
          </w:tblCellMar>
        </w:tblPrEx>
        <w:trPr>
          <w:trHeight w:val="669"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编号</w:t>
            </w:r>
          </w:p>
        </w:tc>
        <w:tc>
          <w:tcPr>
            <w:tcW w:w="168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产品名称</w:t>
            </w:r>
          </w:p>
        </w:tc>
        <w:tc>
          <w:tcPr>
            <w:tcW w:w="383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功能简介/配置描述</w:t>
            </w:r>
          </w:p>
        </w:tc>
        <w:tc>
          <w:tcPr>
            <w:tcW w:w="109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数量</w:t>
            </w:r>
          </w:p>
        </w:tc>
        <w:tc>
          <w:tcPr>
            <w:tcW w:w="110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单位</w:t>
            </w:r>
          </w:p>
        </w:tc>
      </w:tr>
      <w:tr>
        <w:tblPrEx>
          <w:tblCellMar>
            <w:top w:w="0" w:type="dxa"/>
            <w:left w:w="108" w:type="dxa"/>
            <w:bottom w:w="0" w:type="dxa"/>
            <w:right w:w="108" w:type="dxa"/>
          </w:tblCellMar>
        </w:tblPrEx>
        <w:trPr>
          <w:trHeight w:val="100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168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移动护理软件平台</w:t>
            </w:r>
          </w:p>
        </w:tc>
        <w:tc>
          <w:tcPr>
            <w:tcW w:w="3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包括终端侧APP、服务器侧移动护理业务平台的软件调测、故障排查、接口适配、终端适配</w:t>
            </w:r>
          </w:p>
        </w:tc>
        <w:tc>
          <w:tcPr>
            <w:tcW w:w="109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1</w:t>
            </w:r>
          </w:p>
        </w:tc>
        <w:tc>
          <w:tcPr>
            <w:tcW w:w="1103"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sz w:val="22"/>
                <w:szCs w:val="22"/>
              </w:rPr>
              <w:t>套</w:t>
            </w:r>
          </w:p>
        </w:tc>
      </w:tr>
      <w:tr>
        <w:tblPrEx>
          <w:tblCellMar>
            <w:top w:w="0" w:type="dxa"/>
            <w:left w:w="108" w:type="dxa"/>
            <w:bottom w:w="0" w:type="dxa"/>
            <w:right w:w="108" w:type="dxa"/>
          </w:tblCellMar>
        </w:tblPrEx>
        <w:trPr>
          <w:trHeight w:val="100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168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VPDN专网</w:t>
            </w:r>
          </w:p>
        </w:tc>
        <w:tc>
          <w:tcPr>
            <w:tcW w:w="383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sz w:val="22"/>
                <w:szCs w:val="22"/>
              </w:rPr>
              <w:t>包含</w:t>
            </w:r>
            <w:r>
              <w:rPr>
                <w:rFonts w:hint="eastAsia" w:ascii="宋体" w:hAnsi="宋体" w:cs="宋体"/>
                <w:sz w:val="22"/>
                <w:szCs w:val="22"/>
                <w:lang w:val="en-US" w:eastAsia="zh-CN"/>
              </w:rPr>
              <w:t>8</w:t>
            </w:r>
            <w:r>
              <w:rPr>
                <w:rFonts w:ascii="宋体" w:hAnsi="宋体" w:cs="宋体"/>
                <w:sz w:val="22"/>
                <w:szCs w:val="22"/>
              </w:rPr>
              <w:t>0</w:t>
            </w:r>
            <w:r>
              <w:rPr>
                <w:rFonts w:hint="eastAsia" w:ascii="宋体" w:hAnsi="宋体" w:cs="宋体"/>
                <w:sz w:val="22"/>
                <w:szCs w:val="22"/>
              </w:rPr>
              <w:t>张</w:t>
            </w:r>
            <w:r>
              <w:rPr>
                <w:rFonts w:ascii="宋体" w:hAnsi="宋体" w:cs="宋体"/>
                <w:sz w:val="22"/>
                <w:szCs w:val="22"/>
              </w:rPr>
              <w:t>流量卡和</w:t>
            </w:r>
            <w:r>
              <w:rPr>
                <w:rFonts w:hint="eastAsia" w:ascii="宋体" w:hAnsi="宋体" w:cs="宋体"/>
                <w:sz w:val="22"/>
                <w:szCs w:val="22"/>
              </w:rPr>
              <w:t>20兆VPDN专线</w:t>
            </w:r>
          </w:p>
        </w:tc>
        <w:tc>
          <w:tcPr>
            <w:tcW w:w="1091"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1</w:t>
            </w:r>
          </w:p>
        </w:tc>
        <w:tc>
          <w:tcPr>
            <w:tcW w:w="1103"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sz w:val="22"/>
                <w:szCs w:val="22"/>
              </w:rPr>
              <w:t>套</w:t>
            </w:r>
          </w:p>
        </w:tc>
      </w:tr>
      <w:tr>
        <w:tblPrEx>
          <w:tblCellMar>
            <w:top w:w="0" w:type="dxa"/>
            <w:left w:w="108" w:type="dxa"/>
            <w:bottom w:w="0" w:type="dxa"/>
            <w:right w:w="108" w:type="dxa"/>
          </w:tblCellMar>
        </w:tblPrEx>
        <w:trPr>
          <w:trHeight w:val="104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3</w:t>
            </w:r>
          </w:p>
        </w:tc>
        <w:tc>
          <w:tcPr>
            <w:tcW w:w="168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PDA终端（旧）</w:t>
            </w:r>
          </w:p>
        </w:tc>
        <w:tc>
          <w:tcPr>
            <w:tcW w:w="3830"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75台</w:t>
            </w:r>
            <w:r>
              <w:rPr>
                <w:rFonts w:hint="eastAsia" w:ascii="宋体" w:hAnsi="宋体" w:cs="宋体"/>
                <w:color w:val="000000"/>
                <w:sz w:val="22"/>
                <w:szCs w:val="22"/>
              </w:rPr>
              <w:t>PDA终端故障检测</w:t>
            </w:r>
            <w:r>
              <w:rPr>
                <w:rFonts w:ascii="宋体" w:hAnsi="宋体" w:cs="宋体"/>
                <w:color w:val="000000"/>
                <w:sz w:val="22"/>
                <w:szCs w:val="22"/>
              </w:rPr>
              <w:t>及维修</w:t>
            </w:r>
            <w:r>
              <w:rPr>
                <w:rFonts w:hint="eastAsia" w:ascii="宋体" w:hAnsi="宋体" w:cs="宋体"/>
                <w:color w:val="000000"/>
                <w:sz w:val="22"/>
                <w:szCs w:val="22"/>
              </w:rPr>
              <w:t>服务</w:t>
            </w:r>
          </w:p>
        </w:tc>
        <w:tc>
          <w:tcPr>
            <w:tcW w:w="1091"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1</w:t>
            </w:r>
          </w:p>
        </w:tc>
        <w:tc>
          <w:tcPr>
            <w:tcW w:w="1103"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sz w:val="22"/>
                <w:szCs w:val="22"/>
              </w:rPr>
              <w:t>套</w:t>
            </w:r>
          </w:p>
        </w:tc>
      </w:tr>
      <w:tr>
        <w:tblPrEx>
          <w:tblCellMar>
            <w:top w:w="0" w:type="dxa"/>
            <w:left w:w="108" w:type="dxa"/>
            <w:bottom w:w="0" w:type="dxa"/>
            <w:right w:w="108" w:type="dxa"/>
          </w:tblCellMar>
        </w:tblPrEx>
        <w:trPr>
          <w:trHeight w:val="882"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4</w:t>
            </w:r>
          </w:p>
        </w:tc>
        <w:tc>
          <w:tcPr>
            <w:tcW w:w="168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color w:val="000000"/>
                <w:sz w:val="22"/>
                <w:szCs w:val="22"/>
              </w:rPr>
            </w:pPr>
            <w:r>
              <w:rPr>
                <w:rFonts w:hint="eastAsia" w:ascii="宋体" w:hAnsi="宋体" w:cs="宋体"/>
                <w:color w:val="000000"/>
                <w:sz w:val="22"/>
                <w:szCs w:val="22"/>
              </w:rPr>
              <w:t>PDA终端（新购）</w:t>
            </w:r>
          </w:p>
        </w:tc>
        <w:tc>
          <w:tcPr>
            <w:tcW w:w="383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新购</w:t>
            </w:r>
            <w:r>
              <w:rPr>
                <w:rFonts w:ascii="宋体" w:hAnsi="宋体" w:cs="宋体"/>
                <w:color w:val="000000"/>
                <w:sz w:val="22"/>
                <w:szCs w:val="22"/>
              </w:rPr>
              <w:t>PAD</w:t>
            </w:r>
            <w:r>
              <w:rPr>
                <w:rFonts w:hint="eastAsia" w:ascii="宋体" w:hAnsi="宋体" w:cs="宋体"/>
                <w:color w:val="000000"/>
                <w:sz w:val="22"/>
                <w:szCs w:val="22"/>
              </w:rPr>
              <w:t>终端含故障检测及维修服务</w:t>
            </w:r>
          </w:p>
        </w:tc>
        <w:tc>
          <w:tcPr>
            <w:tcW w:w="109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25</w:t>
            </w:r>
          </w:p>
        </w:tc>
        <w:tc>
          <w:tcPr>
            <w:tcW w:w="1103"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台</w:t>
            </w:r>
          </w:p>
        </w:tc>
      </w:tr>
    </w:tbl>
    <w:p/>
    <w:p>
      <w:pPr>
        <w:pStyle w:val="2"/>
        <w:ind w:firstLine="482" w:firstLineChars="200"/>
        <w:rPr>
          <w:rFonts w:hint="eastAsia" w:ascii="仿宋" w:hAnsi="仿宋" w:eastAsia="仿宋" w:cs="仿宋"/>
          <w:b/>
          <w:bCs w:val="0"/>
          <w:sz w:val="24"/>
          <w:szCs w:val="24"/>
          <w:lang w:val="en-US" w:eastAsia="zh-CN"/>
        </w:rPr>
      </w:pPr>
    </w:p>
    <w:p>
      <w:pPr>
        <w:pStyle w:val="14"/>
        <w:ind w:firstLine="482"/>
        <w:rPr>
          <w:rFonts w:hint="eastAsia" w:ascii="Times New Roman" w:hAnsi="Times New Roman" w:eastAsia="宋体" w:cs="Times New Roman"/>
          <w:b/>
          <w:color w:val="000000"/>
          <w:highlight w:val="none"/>
          <w:lang w:val="en-US" w:eastAsia="zh-CN"/>
        </w:rPr>
      </w:pPr>
      <w:r>
        <w:rPr>
          <w:rFonts w:hint="eastAsia" w:cs="Times New Roman"/>
          <w:b/>
          <w:color w:val="000000"/>
          <w:highlight w:val="none"/>
          <w:lang w:val="en-US" w:eastAsia="zh-CN"/>
        </w:rPr>
        <w:t>四</w:t>
      </w:r>
      <w:r>
        <w:rPr>
          <w:rFonts w:hint="eastAsia" w:ascii="Times New Roman" w:hAnsi="Times New Roman" w:eastAsia="宋体" w:cs="Times New Roman"/>
          <w:b/>
          <w:color w:val="000000"/>
          <w:highlight w:val="none"/>
          <w:lang w:val="en-US" w:eastAsia="zh-CN"/>
        </w:rPr>
        <w:t>、商务要求</w:t>
      </w:r>
    </w:p>
    <w:tbl>
      <w:tblPr>
        <w:tblStyle w:val="9"/>
        <w:tblW w:w="510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707"/>
        <w:gridCol w:w="6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704" w:type="dxa"/>
            <w:noWrap w:val="0"/>
            <w:vAlign w:val="center"/>
          </w:tcPr>
          <w:p>
            <w:pPr>
              <w:pStyle w:val="12"/>
              <w:pageBreakBefore w:val="0"/>
              <w:kinsoku/>
              <w:overflowPunct/>
              <w:bidi w:val="0"/>
              <w:spacing w:line="360" w:lineRule="auto"/>
              <w:jc w:val="center"/>
              <w:rPr>
                <w:rFonts w:hint="eastAsia" w:ascii="宋体" w:hAnsi="Times New Roman" w:eastAsia="宋体" w:cs="Tahoma"/>
                <w:b/>
                <w:bCs/>
                <w:color w:val="000000"/>
                <w:kern w:val="28"/>
                <w:sz w:val="21"/>
                <w:szCs w:val="21"/>
                <w:highlight w:val="none"/>
                <w:lang w:val="en-US" w:eastAsia="zh-CN" w:bidi="ar-SA"/>
              </w:rPr>
            </w:pPr>
            <w:r>
              <w:rPr>
                <w:rFonts w:hint="eastAsia" w:cs="Tahoma"/>
                <w:b/>
                <w:bCs/>
                <w:color w:val="000000"/>
                <w:kern w:val="28"/>
                <w:sz w:val="21"/>
                <w:szCs w:val="21"/>
                <w:highlight w:val="none"/>
              </w:rPr>
              <w:t>合同履行期限</w:t>
            </w:r>
          </w:p>
        </w:tc>
        <w:tc>
          <w:tcPr>
            <w:tcW w:w="6781" w:type="dxa"/>
            <w:noWrap w:val="0"/>
            <w:vAlign w:val="top"/>
          </w:tcPr>
          <w:p>
            <w:pPr>
              <w:pStyle w:val="12"/>
              <w:pageBreakBefore w:val="0"/>
              <w:kinsoku/>
              <w:overflowPunct/>
              <w:bidi w:val="0"/>
              <w:spacing w:line="360" w:lineRule="auto"/>
              <w:ind w:firstLine="211" w:firstLineChars="100"/>
              <w:jc w:val="left"/>
              <w:rPr>
                <w:rFonts w:hint="eastAsia" w:ascii="宋体" w:hAnsi="Times New Roman" w:eastAsia="宋体" w:cs="Tahoma"/>
                <w:color w:val="000000"/>
                <w:kern w:val="28"/>
                <w:sz w:val="21"/>
                <w:szCs w:val="21"/>
                <w:highlight w:val="none"/>
                <w:lang w:val="en-US" w:eastAsia="zh-CN" w:bidi="ar-SA"/>
              </w:rPr>
            </w:pPr>
            <w:r>
              <w:rPr>
                <w:rFonts w:hint="eastAsia" w:cs="Tahoma"/>
                <w:b/>
                <w:bCs/>
                <w:color w:val="auto"/>
                <w:kern w:val="28"/>
                <w:sz w:val="21"/>
                <w:szCs w:val="21"/>
                <w:highlight w:val="none"/>
                <w:lang w:val="en-US" w:eastAsia="zh-CN"/>
              </w:rPr>
              <w:t>1</w:t>
            </w:r>
            <w:r>
              <w:rPr>
                <w:rFonts w:hint="default" w:cs="Tahoma"/>
                <w:b/>
                <w:bCs/>
                <w:color w:val="auto"/>
                <w:kern w:val="28"/>
                <w:sz w:val="21"/>
                <w:szCs w:val="21"/>
                <w:highlight w:val="none"/>
                <w:lang w:val="en-US" w:eastAsia="zh-CN"/>
              </w:rPr>
              <w:t>年</w:t>
            </w:r>
            <w:r>
              <w:rPr>
                <w:rFonts w:hint="default" w:cs="Tahoma"/>
                <w:color w:val="auto"/>
                <w:kern w:val="28"/>
                <w:sz w:val="21"/>
                <w:szCs w:val="21"/>
                <w:highlight w:val="none"/>
                <w:lang w:val="en-US" w:eastAsia="zh-CN"/>
              </w:rPr>
              <w:t>（具体起止时间以合同签订为准）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704" w:type="dxa"/>
            <w:noWrap w:val="0"/>
            <w:vAlign w:val="center"/>
          </w:tcPr>
          <w:p>
            <w:pPr>
              <w:pStyle w:val="12"/>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cs="Tahoma"/>
                <w:b/>
                <w:bCs/>
                <w:color w:val="auto"/>
                <w:kern w:val="28"/>
                <w:sz w:val="21"/>
                <w:szCs w:val="21"/>
                <w:highlight w:val="none"/>
              </w:rPr>
            </w:pPr>
            <w:r>
              <w:rPr>
                <w:rFonts w:hint="eastAsia" w:cs="Tahoma"/>
                <w:b/>
                <w:bCs/>
                <w:color w:val="auto"/>
                <w:kern w:val="28"/>
                <w:sz w:val="21"/>
                <w:szCs w:val="21"/>
                <w:highlight w:val="none"/>
              </w:rPr>
              <w:t>合同履行地点</w:t>
            </w:r>
          </w:p>
        </w:tc>
        <w:tc>
          <w:tcPr>
            <w:tcW w:w="6781" w:type="dxa"/>
            <w:noWrap w:val="0"/>
            <w:vAlign w:val="top"/>
          </w:tcPr>
          <w:p>
            <w:pPr>
              <w:pStyle w:val="12"/>
              <w:keepNext w:val="0"/>
              <w:keepLines w:val="0"/>
              <w:pageBreakBefore w:val="0"/>
              <w:suppressLineNumbers w:val="0"/>
              <w:kinsoku/>
              <w:overflowPunct/>
              <w:bidi w:val="0"/>
              <w:spacing w:before="0" w:beforeAutospacing="0" w:after="0" w:afterAutospacing="0" w:line="360" w:lineRule="auto"/>
              <w:ind w:left="0" w:leftChars="0" w:right="0" w:rightChars="0"/>
              <w:jc w:val="left"/>
              <w:rPr>
                <w:rFonts w:hint="eastAsia" w:cs="Tahoma"/>
                <w:color w:val="auto"/>
                <w:kern w:val="28"/>
                <w:sz w:val="21"/>
                <w:szCs w:val="21"/>
                <w:highlight w:val="none"/>
                <w:lang w:eastAsia="zh-CN"/>
              </w:rPr>
            </w:pPr>
            <w:r>
              <w:rPr>
                <w:rFonts w:hint="eastAsia" w:cs="Tahoma"/>
                <w:color w:val="auto"/>
                <w:kern w:val="28"/>
                <w:sz w:val="21"/>
                <w:szCs w:val="21"/>
                <w:highlight w:val="none"/>
                <w:lang w:eastAsia="zh-CN"/>
              </w:rPr>
              <w:t>采购人指定地点。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704" w:type="dxa"/>
            <w:noWrap w:val="0"/>
            <w:vAlign w:val="center"/>
          </w:tcPr>
          <w:p>
            <w:pPr>
              <w:pStyle w:val="12"/>
              <w:pageBreakBefore w:val="0"/>
              <w:kinsoku/>
              <w:overflowPunct/>
              <w:bidi w:val="0"/>
              <w:spacing w:line="360" w:lineRule="auto"/>
              <w:jc w:val="center"/>
              <w:rPr>
                <w:rFonts w:hint="eastAsia" w:cs="Tahoma"/>
                <w:b/>
                <w:bCs/>
                <w:color w:val="auto"/>
                <w:kern w:val="28"/>
                <w:sz w:val="21"/>
                <w:szCs w:val="21"/>
                <w:highlight w:val="none"/>
              </w:rPr>
            </w:pPr>
            <w:r>
              <w:rPr>
                <w:rFonts w:hint="eastAsia" w:cs="Tahoma"/>
                <w:b/>
                <w:bCs/>
                <w:color w:val="auto"/>
                <w:kern w:val="28"/>
                <w:sz w:val="21"/>
                <w:szCs w:val="21"/>
                <w:highlight w:val="none"/>
                <w:lang w:eastAsia="zh-CN"/>
              </w:rPr>
              <w:t>响应</w:t>
            </w:r>
            <w:r>
              <w:rPr>
                <w:rFonts w:hint="eastAsia" w:cs="Tahoma"/>
                <w:b/>
                <w:bCs/>
                <w:color w:val="auto"/>
                <w:kern w:val="28"/>
                <w:sz w:val="21"/>
                <w:szCs w:val="21"/>
                <w:highlight w:val="none"/>
              </w:rPr>
              <w:t>有效期</w:t>
            </w:r>
          </w:p>
        </w:tc>
        <w:tc>
          <w:tcPr>
            <w:tcW w:w="6781" w:type="dxa"/>
            <w:noWrap w:val="0"/>
            <w:vAlign w:val="top"/>
          </w:tcPr>
          <w:p>
            <w:pPr>
              <w:pStyle w:val="12"/>
              <w:pageBreakBefore w:val="0"/>
              <w:kinsoku/>
              <w:overflowPunct/>
              <w:bidi w:val="0"/>
              <w:spacing w:line="360" w:lineRule="auto"/>
              <w:jc w:val="left"/>
              <w:rPr>
                <w:rFonts w:hint="eastAsia" w:cs="Tahoma"/>
                <w:color w:val="auto"/>
                <w:kern w:val="28"/>
                <w:sz w:val="21"/>
                <w:szCs w:val="21"/>
                <w:highlight w:val="none"/>
                <w:lang w:eastAsia="zh-CN"/>
              </w:rPr>
            </w:pPr>
            <w:r>
              <w:rPr>
                <w:rFonts w:hint="eastAsia" w:cs="Tahoma"/>
                <w:color w:val="auto"/>
                <w:kern w:val="28"/>
                <w:sz w:val="21"/>
                <w:szCs w:val="21"/>
                <w:highlight w:val="none"/>
                <w:lang w:eastAsia="zh-CN"/>
              </w:rPr>
              <w:t>从提交响应文件的截止之日起90日历天。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7" w:hRule="atLeast"/>
        </w:trPr>
        <w:tc>
          <w:tcPr>
            <w:tcW w:w="1704" w:type="dxa"/>
            <w:noWrap w:val="0"/>
            <w:vAlign w:val="center"/>
          </w:tcPr>
          <w:p>
            <w:pPr>
              <w:pStyle w:val="12"/>
              <w:pageBreakBefore w:val="0"/>
              <w:kinsoku/>
              <w:overflowPunct/>
              <w:bidi w:val="0"/>
              <w:spacing w:line="360" w:lineRule="auto"/>
              <w:jc w:val="center"/>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b/>
                <w:bCs/>
                <w:color w:val="000000"/>
                <w:kern w:val="28"/>
                <w:sz w:val="21"/>
                <w:szCs w:val="21"/>
                <w:highlight w:val="none"/>
                <w:lang w:val="en-US" w:eastAsia="zh-CN" w:bidi="ar-SA"/>
              </w:rPr>
              <w:t>付款方式</w:t>
            </w:r>
          </w:p>
        </w:tc>
        <w:tc>
          <w:tcPr>
            <w:tcW w:w="6781" w:type="dxa"/>
            <w:noWrap w:val="0"/>
            <w:vAlign w:val="top"/>
          </w:tcPr>
          <w:p>
            <w:pPr>
              <w:pStyle w:val="14"/>
              <w:pageBreakBefore w:val="0"/>
              <w:kinsoku/>
              <w:overflowPunct/>
              <w:bidi w:val="0"/>
              <w:spacing w:line="360" w:lineRule="auto"/>
              <w:ind w:left="0" w:leftChars="0" w:firstLine="0" w:firstLineChars="0"/>
              <w:rPr>
                <w:rFonts w:hint="eastAsia" w:ascii="宋体" w:hAnsi="Times New Roman" w:eastAsia="宋体" w:cs="Tahoma"/>
                <w:color w:val="auto"/>
                <w:kern w:val="28"/>
                <w:sz w:val="21"/>
                <w:szCs w:val="21"/>
                <w:highlight w:val="none"/>
                <w:lang w:val="en-US" w:eastAsia="zh-CN" w:bidi="ar-SA"/>
              </w:rPr>
            </w:pPr>
            <w:r>
              <w:rPr>
                <w:rFonts w:hint="eastAsia" w:ascii="宋体" w:hAnsi="Times New Roman" w:eastAsia="宋体" w:cs="Tahoma"/>
                <w:color w:val="auto"/>
                <w:kern w:val="28"/>
                <w:sz w:val="21"/>
                <w:szCs w:val="21"/>
                <w:highlight w:val="none"/>
                <w:lang w:val="en-US" w:eastAsia="zh-CN" w:bidi="ar-SA"/>
              </w:rPr>
              <w:t>本合同的款项以人民币</w:t>
            </w:r>
            <w:r>
              <w:rPr>
                <w:rFonts w:hint="eastAsia" w:ascii="宋体" w:cs="Tahoma"/>
                <w:color w:val="auto"/>
                <w:kern w:val="28"/>
                <w:sz w:val="21"/>
                <w:szCs w:val="21"/>
                <w:highlight w:val="none"/>
                <w:lang w:val="en-US" w:eastAsia="zh-CN" w:bidi="ar-SA"/>
              </w:rPr>
              <w:t>银行转账</w:t>
            </w:r>
            <w:r>
              <w:rPr>
                <w:rFonts w:hint="eastAsia" w:ascii="宋体" w:hAnsi="Times New Roman" w:eastAsia="宋体" w:cs="Tahoma"/>
                <w:color w:val="auto"/>
                <w:kern w:val="28"/>
                <w:sz w:val="21"/>
                <w:szCs w:val="21"/>
                <w:highlight w:val="none"/>
                <w:lang w:val="en-US" w:eastAsia="zh-CN" w:bidi="ar-SA"/>
              </w:rPr>
              <w:t>方式支付；</w:t>
            </w:r>
          </w:p>
          <w:p>
            <w:pPr>
              <w:pStyle w:val="14"/>
              <w:pageBreakBefore w:val="0"/>
              <w:kinsoku/>
              <w:overflowPunct/>
              <w:bidi w:val="0"/>
              <w:spacing w:line="360" w:lineRule="auto"/>
              <w:ind w:left="0" w:leftChars="0" w:firstLine="0" w:firstLineChars="0"/>
              <w:rPr>
                <w:rFonts w:hint="eastAsia" w:ascii="宋体" w:hAnsi="Times New Roman" w:eastAsia="宋体" w:cs="Tahoma"/>
                <w:color w:val="auto"/>
                <w:kern w:val="28"/>
                <w:sz w:val="21"/>
                <w:szCs w:val="21"/>
                <w:highlight w:val="none"/>
                <w:lang w:val="en-US" w:eastAsia="zh-CN" w:bidi="ar-SA"/>
              </w:rPr>
            </w:pPr>
            <w:r>
              <w:rPr>
                <w:rFonts w:hint="eastAsia" w:ascii="宋体" w:hAnsi="Times New Roman" w:eastAsia="宋体" w:cs="Tahoma"/>
                <w:color w:val="auto"/>
                <w:kern w:val="28"/>
                <w:sz w:val="21"/>
                <w:szCs w:val="21"/>
                <w:highlight w:val="none"/>
                <w:lang w:val="en-US" w:eastAsia="zh-CN" w:bidi="ar-SA"/>
              </w:rPr>
              <w:t>（1）</w:t>
            </w:r>
            <w:r>
              <w:rPr>
                <w:rFonts w:hint="eastAsia" w:ascii="宋体" w:cs="Tahoma"/>
                <w:color w:val="auto"/>
                <w:kern w:val="28"/>
                <w:sz w:val="21"/>
                <w:szCs w:val="21"/>
                <w:highlight w:val="none"/>
                <w:lang w:val="en-US" w:eastAsia="zh-CN" w:bidi="ar-SA"/>
              </w:rPr>
              <w:t>合同生效起</w:t>
            </w:r>
            <w:r>
              <w:rPr>
                <w:rFonts w:hint="eastAsia" w:ascii="宋体" w:hAnsi="Times New Roman" w:eastAsia="宋体" w:cs="Tahoma"/>
                <w:color w:val="auto"/>
                <w:kern w:val="28"/>
                <w:sz w:val="21"/>
                <w:szCs w:val="21"/>
                <w:highlight w:val="none"/>
                <w:lang w:val="en-US" w:eastAsia="zh-CN" w:bidi="ar-SA"/>
              </w:rPr>
              <w:t>每</w:t>
            </w:r>
            <w:r>
              <w:rPr>
                <w:rFonts w:hint="eastAsia" w:ascii="宋体" w:cs="Tahoma"/>
                <w:color w:val="auto"/>
                <w:kern w:val="28"/>
                <w:sz w:val="21"/>
                <w:szCs w:val="21"/>
                <w:highlight w:val="none"/>
                <w:lang w:val="en-US" w:eastAsia="zh-CN" w:bidi="ar-SA"/>
              </w:rPr>
              <w:t>半年</w:t>
            </w:r>
            <w:r>
              <w:rPr>
                <w:rFonts w:hint="eastAsia" w:ascii="宋体" w:hAnsi="Times New Roman" w:eastAsia="宋体" w:cs="Tahoma"/>
                <w:color w:val="auto"/>
                <w:kern w:val="28"/>
                <w:sz w:val="21"/>
                <w:szCs w:val="21"/>
                <w:highlight w:val="none"/>
                <w:lang w:val="en-US" w:eastAsia="zh-CN" w:bidi="ar-SA"/>
              </w:rPr>
              <w:t>结算费用一次，</w:t>
            </w:r>
            <w:r>
              <w:rPr>
                <w:rFonts w:hint="eastAsia" w:ascii="宋体" w:cs="Tahoma"/>
                <w:color w:val="auto"/>
                <w:kern w:val="28"/>
                <w:sz w:val="21"/>
                <w:szCs w:val="21"/>
                <w:highlight w:val="none"/>
                <w:lang w:val="en-US" w:eastAsia="zh-CN" w:bidi="ar-SA"/>
              </w:rPr>
              <w:t>成交供应商</w:t>
            </w:r>
            <w:r>
              <w:rPr>
                <w:rFonts w:hint="eastAsia" w:ascii="宋体" w:hAnsi="Times New Roman" w:eastAsia="宋体" w:cs="Tahoma"/>
                <w:color w:val="auto"/>
                <w:kern w:val="28"/>
                <w:sz w:val="21"/>
                <w:szCs w:val="21"/>
                <w:highlight w:val="none"/>
                <w:lang w:val="en-US" w:eastAsia="zh-CN" w:bidi="ar-SA"/>
              </w:rPr>
              <w:t>于每</w:t>
            </w:r>
            <w:r>
              <w:rPr>
                <w:rFonts w:hint="eastAsia" w:ascii="宋体" w:cs="Tahoma"/>
                <w:color w:val="auto"/>
                <w:kern w:val="28"/>
                <w:sz w:val="21"/>
                <w:szCs w:val="21"/>
                <w:highlight w:val="none"/>
                <w:lang w:val="en-US" w:eastAsia="zh-CN" w:bidi="ar-SA"/>
              </w:rPr>
              <w:t>半年</w:t>
            </w:r>
            <w:r>
              <w:rPr>
                <w:rFonts w:hint="eastAsia" w:ascii="宋体" w:hAnsi="Times New Roman" w:eastAsia="宋体" w:cs="Tahoma"/>
                <w:color w:val="auto"/>
                <w:kern w:val="28"/>
                <w:sz w:val="21"/>
                <w:szCs w:val="21"/>
                <w:highlight w:val="none"/>
                <w:lang w:val="en-US" w:eastAsia="zh-CN" w:bidi="ar-SA"/>
              </w:rPr>
              <w:t>首月3日前提供</w:t>
            </w:r>
            <w:r>
              <w:rPr>
                <w:rFonts w:hint="eastAsia" w:ascii="宋体" w:cs="Tahoma"/>
                <w:color w:val="auto"/>
                <w:kern w:val="28"/>
                <w:sz w:val="21"/>
                <w:szCs w:val="21"/>
                <w:highlight w:val="none"/>
                <w:lang w:val="en-US" w:eastAsia="zh-CN" w:bidi="ar-SA"/>
              </w:rPr>
              <w:t>半年</w:t>
            </w:r>
            <w:r>
              <w:rPr>
                <w:rFonts w:hint="eastAsia" w:ascii="宋体" w:hAnsi="Times New Roman" w:eastAsia="宋体" w:cs="Tahoma"/>
                <w:color w:val="auto"/>
                <w:kern w:val="28"/>
                <w:sz w:val="21"/>
                <w:szCs w:val="21"/>
                <w:highlight w:val="none"/>
                <w:lang w:val="en-US" w:eastAsia="zh-CN" w:bidi="ar-SA"/>
              </w:rPr>
              <w:t>的费用等额发票向采购人申请支付款项，采购人在收到</w:t>
            </w:r>
            <w:r>
              <w:rPr>
                <w:rFonts w:hint="eastAsia" w:ascii="宋体" w:cs="Tahoma"/>
                <w:color w:val="auto"/>
                <w:kern w:val="28"/>
                <w:sz w:val="21"/>
                <w:szCs w:val="21"/>
                <w:highlight w:val="none"/>
                <w:lang w:val="en-US" w:eastAsia="zh-CN" w:bidi="ar-SA"/>
              </w:rPr>
              <w:t>成交供应商</w:t>
            </w:r>
            <w:r>
              <w:rPr>
                <w:rFonts w:hint="eastAsia" w:ascii="宋体" w:hAnsi="Times New Roman" w:eastAsia="宋体" w:cs="Tahoma"/>
                <w:color w:val="auto"/>
                <w:kern w:val="28"/>
                <w:sz w:val="21"/>
                <w:szCs w:val="21"/>
                <w:highlight w:val="none"/>
                <w:lang w:val="en-US" w:eastAsia="zh-CN" w:bidi="ar-SA"/>
              </w:rPr>
              <w:t>的款项发票申请资料且核对无误后，由采购人填写</w:t>
            </w:r>
            <w:r>
              <w:rPr>
                <w:rFonts w:hint="eastAsia" w:ascii="宋体" w:cs="Tahoma"/>
                <w:color w:val="auto"/>
                <w:kern w:val="28"/>
                <w:sz w:val="21"/>
                <w:szCs w:val="21"/>
                <w:highlight w:val="none"/>
                <w:lang w:val="en-US" w:eastAsia="zh-CN" w:bidi="ar-SA"/>
              </w:rPr>
              <w:t>考评</w:t>
            </w:r>
            <w:r>
              <w:rPr>
                <w:rFonts w:hint="eastAsia" w:ascii="宋体" w:hAnsi="Times New Roman" w:eastAsia="宋体" w:cs="Tahoma"/>
                <w:color w:val="auto"/>
                <w:kern w:val="28"/>
                <w:sz w:val="21"/>
                <w:szCs w:val="21"/>
                <w:highlight w:val="none"/>
                <w:lang w:val="en-US" w:eastAsia="zh-CN" w:bidi="ar-SA"/>
              </w:rPr>
              <w:t>表，合格后方可进行支付，从收到发票当天算起</w:t>
            </w:r>
            <w:r>
              <w:rPr>
                <w:rFonts w:hint="eastAsia" w:ascii="宋体" w:cs="Tahoma"/>
                <w:color w:val="auto"/>
                <w:kern w:val="28"/>
                <w:sz w:val="21"/>
                <w:szCs w:val="21"/>
                <w:highlight w:val="none"/>
                <w:lang w:val="en-US" w:eastAsia="zh-CN" w:bidi="ar-SA"/>
              </w:rPr>
              <w:t>30</w:t>
            </w:r>
            <w:r>
              <w:rPr>
                <w:rFonts w:hint="eastAsia" w:ascii="宋体" w:hAnsi="Times New Roman" w:eastAsia="宋体" w:cs="Tahoma"/>
                <w:color w:val="auto"/>
                <w:kern w:val="28"/>
                <w:sz w:val="21"/>
                <w:szCs w:val="21"/>
                <w:highlight w:val="none"/>
                <w:lang w:val="en-US" w:eastAsia="zh-CN" w:bidi="ar-SA"/>
              </w:rPr>
              <w:t>日内支付款项；</w:t>
            </w:r>
          </w:p>
          <w:p>
            <w:pPr>
              <w:pStyle w:val="14"/>
              <w:pageBreakBefore w:val="0"/>
              <w:kinsoku/>
              <w:overflowPunct/>
              <w:bidi w:val="0"/>
              <w:spacing w:line="360" w:lineRule="auto"/>
              <w:ind w:left="0" w:leftChars="0" w:firstLine="0" w:firstLineChars="0"/>
              <w:rPr>
                <w:rFonts w:hint="eastAsia" w:ascii="宋体" w:hAnsi="Times New Roman" w:eastAsia="宋体" w:cs="Tahoma"/>
                <w:color w:val="auto"/>
                <w:kern w:val="28"/>
                <w:sz w:val="21"/>
                <w:szCs w:val="21"/>
                <w:highlight w:val="none"/>
                <w:lang w:val="en-US" w:eastAsia="zh-CN" w:bidi="ar-SA"/>
              </w:rPr>
            </w:pPr>
            <w:r>
              <w:rPr>
                <w:rFonts w:hint="eastAsia" w:ascii="宋体" w:hAnsi="Times New Roman" w:eastAsia="宋体" w:cs="Tahoma"/>
                <w:color w:val="auto"/>
                <w:kern w:val="28"/>
                <w:sz w:val="21"/>
                <w:szCs w:val="21"/>
                <w:highlight w:val="none"/>
                <w:lang w:val="en-US" w:eastAsia="zh-CN" w:bidi="ar-SA"/>
              </w:rPr>
              <w:t>（2）因采购人使用的是财政资金，按政府审批流程支付，若审批延迟则相应货款到账延迟，且不视为采购人违约。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4" w:hRule="atLeast"/>
        </w:trPr>
        <w:tc>
          <w:tcPr>
            <w:tcW w:w="1704" w:type="dxa"/>
            <w:noWrap w:val="0"/>
            <w:vAlign w:val="center"/>
          </w:tcPr>
          <w:p>
            <w:pPr>
              <w:pStyle w:val="12"/>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ascii="宋体" w:hAnsi="Times New Roman" w:eastAsia="宋体" w:cs="Tahoma"/>
                <w:b/>
                <w:bCs/>
                <w:color w:val="000000"/>
                <w:kern w:val="28"/>
                <w:sz w:val="21"/>
                <w:szCs w:val="21"/>
                <w:highlight w:val="none"/>
                <w:lang w:val="en-US" w:eastAsia="zh-CN" w:bidi="ar-SA"/>
              </w:rPr>
            </w:pPr>
            <w:r>
              <w:rPr>
                <w:rFonts w:hint="eastAsia" w:cs="Tahoma"/>
                <w:b/>
                <w:bCs/>
                <w:color w:val="000000"/>
                <w:kern w:val="28"/>
                <w:sz w:val="21"/>
                <w:szCs w:val="21"/>
                <w:highlight w:val="none"/>
                <w:lang w:eastAsia="zh-CN"/>
              </w:rPr>
              <w:t>技术支持方式</w:t>
            </w:r>
          </w:p>
        </w:tc>
        <w:tc>
          <w:tcPr>
            <w:tcW w:w="6781" w:type="dxa"/>
            <w:noWrap w:val="0"/>
            <w:vAlign w:val="top"/>
          </w:tcPr>
          <w:p>
            <w:pPr>
              <w:pStyle w:val="12"/>
              <w:keepNext w:val="0"/>
              <w:keepLines w:val="0"/>
              <w:pageBreakBefore w:val="0"/>
              <w:widowControl w:val="0"/>
              <w:suppressLineNumbers w:val="0"/>
              <w:kinsoku/>
              <w:wordWrap w:val="0"/>
              <w:overflowPunct/>
              <w:topLinePunct/>
              <w:autoSpaceDE/>
              <w:autoSpaceDN/>
              <w:bidi w:val="0"/>
              <w:adjustRightInd w:val="0"/>
              <w:snapToGrid/>
              <w:spacing w:before="0" w:beforeAutospacing="0" w:after="0" w:afterAutospacing="0" w:line="360" w:lineRule="auto"/>
              <w:ind w:left="0" w:leftChars="0" w:right="0" w:rightChars="0"/>
              <w:jc w:val="left"/>
              <w:textAlignment w:val="auto"/>
              <w:rPr>
                <w:rFonts w:hint="eastAsia" w:ascii="宋体" w:hAnsi="Times New Roman" w:eastAsia="宋体" w:cs="Tahoma"/>
                <w:color w:val="auto"/>
                <w:kern w:val="28"/>
                <w:sz w:val="21"/>
                <w:szCs w:val="21"/>
                <w:highlight w:val="none"/>
                <w:lang w:val="en-US" w:eastAsia="zh-CN" w:bidi="ar-SA"/>
              </w:rPr>
            </w:pPr>
            <w:r>
              <w:rPr>
                <w:rFonts w:hint="eastAsia" w:cs="Tahoma"/>
                <w:color w:val="auto"/>
                <w:kern w:val="28"/>
                <w:sz w:val="21"/>
                <w:szCs w:val="21"/>
                <w:highlight w:val="none"/>
                <w:lang w:eastAsia="zh-CN"/>
              </w:rPr>
              <w:t>服务期内要求成交供应商为本项目成立固定的技术实施团队，提供工程师服务电话及手机，并提供服务期内7天*24小时的技术支持服务。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4" w:hRule="atLeast"/>
        </w:trPr>
        <w:tc>
          <w:tcPr>
            <w:tcW w:w="1704" w:type="dxa"/>
            <w:noWrap w:val="0"/>
            <w:vAlign w:val="center"/>
          </w:tcPr>
          <w:p>
            <w:pPr>
              <w:pStyle w:val="12"/>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cs="Tahoma"/>
                <w:b/>
                <w:bCs/>
                <w:color w:val="000000"/>
                <w:kern w:val="28"/>
                <w:sz w:val="21"/>
                <w:szCs w:val="21"/>
                <w:highlight w:val="none"/>
                <w:lang w:eastAsia="zh-CN"/>
              </w:rPr>
            </w:pPr>
            <w:r>
              <w:rPr>
                <w:rFonts w:hint="eastAsia" w:cs="Tahoma"/>
                <w:b/>
                <w:bCs/>
                <w:color w:val="000000"/>
                <w:kern w:val="28"/>
                <w:sz w:val="21"/>
                <w:szCs w:val="21"/>
                <w:highlight w:val="none"/>
                <w:lang w:eastAsia="zh-CN"/>
              </w:rPr>
              <w:t>服务质量保障</w:t>
            </w:r>
          </w:p>
        </w:tc>
        <w:tc>
          <w:tcPr>
            <w:tcW w:w="6781" w:type="dxa"/>
            <w:noWrap w:val="0"/>
            <w:vAlign w:val="top"/>
          </w:tcPr>
          <w:p>
            <w:pPr>
              <w:pStyle w:val="12"/>
              <w:keepNext w:val="0"/>
              <w:keepLines w:val="0"/>
              <w:pageBreakBefore w:val="0"/>
              <w:widowControl w:val="0"/>
              <w:suppressLineNumbers w:val="0"/>
              <w:kinsoku/>
              <w:wordWrap w:val="0"/>
              <w:overflowPunct/>
              <w:topLinePunct/>
              <w:autoSpaceDE/>
              <w:autoSpaceDN/>
              <w:bidi w:val="0"/>
              <w:adjustRightInd w:val="0"/>
              <w:snapToGrid/>
              <w:spacing w:before="0" w:beforeAutospacing="0" w:after="0" w:afterAutospacing="0" w:line="360" w:lineRule="auto"/>
              <w:ind w:left="0" w:leftChars="0" w:right="0" w:rightChars="0"/>
              <w:jc w:val="left"/>
              <w:textAlignment w:val="auto"/>
              <w:rPr>
                <w:rFonts w:hint="eastAsia" w:cs="Tahoma"/>
                <w:color w:val="auto"/>
                <w:kern w:val="28"/>
                <w:sz w:val="21"/>
                <w:szCs w:val="21"/>
                <w:highlight w:val="none"/>
                <w:lang w:eastAsia="zh-CN"/>
              </w:rPr>
            </w:pPr>
            <w:r>
              <w:rPr>
                <w:rFonts w:hint="eastAsia" w:cs="Tahoma"/>
                <w:color w:val="auto"/>
                <w:kern w:val="28"/>
                <w:sz w:val="21"/>
                <w:szCs w:val="21"/>
                <w:highlight w:val="none"/>
                <w:lang w:eastAsia="zh-CN"/>
              </w:rPr>
              <w:t>服务质量主要指响应时间、系统恢复时间、系统升级是否及时、定期系统检查巡检服务等，每次服务均需双方经手人签字，作为评定考核服务质量的主要依据。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3" w:hRule="atLeast"/>
        </w:trPr>
        <w:tc>
          <w:tcPr>
            <w:tcW w:w="1704" w:type="dxa"/>
            <w:noWrap w:val="0"/>
            <w:vAlign w:val="center"/>
          </w:tcPr>
          <w:p>
            <w:pPr>
              <w:pStyle w:val="12"/>
              <w:pageBreakBefore w:val="0"/>
              <w:kinsoku/>
              <w:overflowPunct/>
              <w:bidi w:val="0"/>
              <w:spacing w:line="360" w:lineRule="auto"/>
              <w:jc w:val="center"/>
              <w:rPr>
                <w:rFonts w:hint="eastAsia" w:cs="Tahoma"/>
                <w:b/>
                <w:bCs/>
                <w:color w:val="000000"/>
                <w:kern w:val="28"/>
                <w:sz w:val="21"/>
                <w:szCs w:val="21"/>
                <w:highlight w:val="none"/>
                <w:lang w:val="en-US" w:eastAsia="zh-CN"/>
              </w:rPr>
            </w:pPr>
            <w:r>
              <w:rPr>
                <w:rFonts w:hint="eastAsia" w:cs="Tahoma"/>
                <w:b/>
                <w:bCs/>
                <w:color w:val="000000"/>
                <w:kern w:val="28"/>
                <w:sz w:val="21"/>
                <w:szCs w:val="21"/>
                <w:highlight w:val="none"/>
                <w:lang w:val="en-US" w:eastAsia="zh-CN"/>
              </w:rPr>
              <w:t>保密要求</w:t>
            </w:r>
          </w:p>
        </w:tc>
        <w:tc>
          <w:tcPr>
            <w:tcW w:w="6781" w:type="dxa"/>
            <w:noWrap w:val="0"/>
            <w:vAlign w:val="top"/>
          </w:tcPr>
          <w:p>
            <w:pPr>
              <w:pStyle w:val="12"/>
              <w:keepNext w:val="0"/>
              <w:keepLines w:val="0"/>
              <w:pageBreakBefore w:val="0"/>
              <w:widowControl w:val="0"/>
              <w:kinsoku/>
              <w:wordWrap w:val="0"/>
              <w:overflowPunct/>
              <w:topLinePunct/>
              <w:autoSpaceDE/>
              <w:autoSpaceDN/>
              <w:bidi w:val="0"/>
              <w:adjustRightInd w:val="0"/>
              <w:snapToGrid/>
              <w:spacing w:line="360" w:lineRule="auto"/>
              <w:jc w:val="left"/>
              <w:textAlignment w:val="auto"/>
              <w:rPr>
                <w:rFonts w:hint="eastAsia" w:cs="Tahoma"/>
                <w:color w:val="auto"/>
                <w:kern w:val="28"/>
                <w:sz w:val="21"/>
                <w:szCs w:val="21"/>
                <w:highlight w:val="none"/>
                <w:lang w:eastAsia="zh-CN"/>
              </w:rPr>
            </w:pPr>
            <w:r>
              <w:rPr>
                <w:rFonts w:hint="eastAsia" w:cs="Tahoma"/>
                <w:color w:val="auto"/>
                <w:kern w:val="28"/>
                <w:sz w:val="21"/>
                <w:szCs w:val="21"/>
                <w:highlight w:val="none"/>
                <w:lang w:eastAsia="zh-CN"/>
              </w:rPr>
              <w:t>因医院系统数据涉及大量隐私敏感信息，成交供应商需具备有效的数据存储安全管理体系和隐私信息管理体系，保障医院系统数据安全。服务工程师在上岗前需与医院签署保密协议书，保证不向外露用户设备数据或用作其他用途。服务工程师在对院内设备操作过程中，提前和相关科室充分沟通其所修设备数据目录，提前做好相关数据备份，终端设备由维修维护导致的数据丢失由成交供应商负责（设备正常使用损坏所造成的数据丢失不在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9" w:hRule="atLeast"/>
        </w:trPr>
        <w:tc>
          <w:tcPr>
            <w:tcW w:w="1704" w:type="dxa"/>
            <w:noWrap w:val="0"/>
            <w:vAlign w:val="center"/>
          </w:tcPr>
          <w:p>
            <w:pPr>
              <w:pStyle w:val="12"/>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ascii="宋体" w:hAnsi="Times New Roman" w:eastAsia="宋体" w:cs="Tahoma"/>
                <w:b/>
                <w:bCs/>
                <w:color w:val="000000"/>
                <w:kern w:val="28"/>
                <w:sz w:val="21"/>
                <w:szCs w:val="21"/>
                <w:highlight w:val="none"/>
                <w:lang w:val="en-US" w:eastAsia="zh-CN" w:bidi="ar-SA"/>
              </w:rPr>
            </w:pPr>
            <w:r>
              <w:rPr>
                <w:rFonts w:hint="eastAsia" w:cs="Tahoma"/>
                <w:b/>
                <w:bCs/>
                <w:color w:val="000000"/>
                <w:kern w:val="28"/>
                <w:sz w:val="21"/>
                <w:szCs w:val="21"/>
                <w:highlight w:val="none"/>
                <w:lang w:val="en-US" w:eastAsia="zh-CN"/>
              </w:rPr>
              <w:t>售后服务要求</w:t>
            </w:r>
          </w:p>
        </w:tc>
        <w:tc>
          <w:tcPr>
            <w:tcW w:w="6781" w:type="dxa"/>
            <w:noWrap w:val="0"/>
            <w:vAlign w:val="top"/>
          </w:tcPr>
          <w:p>
            <w:pPr>
              <w:pStyle w:val="14"/>
              <w:keepNext w:val="0"/>
              <w:keepLines w:val="0"/>
              <w:pageBreakBefore w:val="0"/>
              <w:suppressLineNumbers w:val="0"/>
              <w:kinsoku/>
              <w:overflowPunct/>
              <w:bidi w:val="0"/>
              <w:spacing w:before="0" w:beforeAutospacing="0" w:after="0" w:afterAutospacing="0" w:line="360" w:lineRule="auto"/>
              <w:ind w:left="0" w:leftChars="0" w:right="0" w:rightChars="0" w:firstLine="0" w:firstLineChars="0"/>
              <w:rPr>
                <w:rFonts w:hint="eastAsia" w:ascii="Times New Roman" w:hAnsi="Times New Roman" w:eastAsia="宋体" w:cs="Tahoma"/>
                <w:color w:val="auto"/>
                <w:kern w:val="28"/>
                <w:sz w:val="21"/>
                <w:szCs w:val="21"/>
                <w:highlight w:val="none"/>
                <w:lang w:val="en-US" w:eastAsia="zh-CN" w:bidi="ar-SA"/>
              </w:rPr>
            </w:pPr>
            <w:r>
              <w:rPr>
                <w:rFonts w:hint="eastAsia" w:ascii="宋体" w:cs="Tahoma"/>
                <w:color w:val="auto"/>
                <w:kern w:val="28"/>
                <w:sz w:val="21"/>
                <w:szCs w:val="21"/>
                <w:highlight w:val="none"/>
                <w:lang w:val="en-US" w:eastAsia="zh-CN" w:bidi="ar-SA"/>
              </w:rPr>
              <w:t>成交供应商</w:t>
            </w:r>
            <w:r>
              <w:rPr>
                <w:rFonts w:hint="eastAsia" w:ascii="宋体" w:hAnsi="Times New Roman" w:cs="Tahoma"/>
                <w:color w:val="auto"/>
                <w:kern w:val="28"/>
                <w:sz w:val="21"/>
                <w:szCs w:val="21"/>
                <w:highlight w:val="none"/>
                <w:lang w:val="en-US" w:eastAsia="zh-CN" w:bidi="ar-SA"/>
              </w:rPr>
              <w:t>须具备有效的售后服务体系，派驻项目经理需具备项目管理、通信网络管理、信息安全评估能力。派驻技术团队应具备项目管理、信息安全及数据安全保障能力。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704" w:type="dxa"/>
            <w:noWrap w:val="0"/>
            <w:vAlign w:val="center"/>
          </w:tcPr>
          <w:p>
            <w:pPr>
              <w:pStyle w:val="12"/>
              <w:pageBreakBefore w:val="0"/>
              <w:kinsoku/>
              <w:overflowPunct/>
              <w:bidi w:val="0"/>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履约保证金</w:t>
            </w:r>
          </w:p>
        </w:tc>
        <w:tc>
          <w:tcPr>
            <w:tcW w:w="6781" w:type="dxa"/>
            <w:noWrap w:val="0"/>
            <w:vAlign w:val="top"/>
          </w:tcPr>
          <w:p>
            <w:pPr>
              <w:pStyle w:val="12"/>
              <w:pageBreakBefore w:val="0"/>
              <w:kinsoku/>
              <w:overflowPunct/>
              <w:bidi w:val="0"/>
              <w:spacing w:line="360" w:lineRule="auto"/>
              <w:jc w:val="left"/>
              <w:rPr>
                <w:rFonts w:hint="eastAsia" w:cs="Tahoma"/>
                <w:color w:val="auto"/>
                <w:kern w:val="28"/>
                <w:sz w:val="21"/>
                <w:szCs w:val="21"/>
                <w:highlight w:val="none"/>
                <w:lang w:eastAsia="zh-CN"/>
              </w:rPr>
            </w:pPr>
            <w:r>
              <w:rPr>
                <w:rFonts w:hint="eastAsia" w:cs="Tahoma"/>
                <w:color w:val="auto"/>
                <w:kern w:val="28"/>
                <w:sz w:val="21"/>
                <w:szCs w:val="21"/>
                <w:highlight w:val="none"/>
                <w:lang w:eastAsia="zh-CN"/>
              </w:rPr>
              <w:t>不收取。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704" w:type="dxa"/>
            <w:noWrap w:val="0"/>
            <w:vAlign w:val="center"/>
          </w:tcPr>
          <w:p>
            <w:pPr>
              <w:pageBreakBefore w:val="0"/>
              <w:widowControl/>
              <w:tabs>
                <w:tab w:val="left" w:pos="636"/>
              </w:tabs>
              <w:kinsoku/>
              <w:overflowPunct/>
              <w:autoSpaceDE w:val="0"/>
              <w:autoSpaceDN w:val="0"/>
              <w:bidi w:val="0"/>
              <w:spacing w:line="360" w:lineRule="auto"/>
              <w:jc w:val="center"/>
              <w:textAlignment w:val="bottom"/>
              <w:rPr>
                <w:rFonts w:hint="eastAsia" w:cs="Tahoma"/>
                <w:b/>
                <w:bCs/>
                <w:color w:val="000000"/>
                <w:kern w:val="28"/>
                <w:sz w:val="21"/>
                <w:szCs w:val="21"/>
                <w:highlight w:val="none"/>
              </w:rPr>
            </w:pPr>
            <w:r>
              <w:rPr>
                <w:rFonts w:hint="eastAsia" w:ascii="宋体" w:hAnsi="宋体" w:eastAsia="宋体" w:cs="宋体"/>
                <w:b/>
                <w:bCs/>
                <w:color w:val="auto"/>
                <w:sz w:val="21"/>
                <w:szCs w:val="21"/>
                <w:highlight w:val="none"/>
                <w:lang w:val="en-US" w:eastAsia="zh-CN"/>
              </w:rPr>
              <w:t>报价说明</w:t>
            </w:r>
          </w:p>
        </w:tc>
        <w:tc>
          <w:tcPr>
            <w:tcW w:w="6781" w:type="dxa"/>
            <w:noWrap w:val="0"/>
            <w:vAlign w:val="top"/>
          </w:tcPr>
          <w:p>
            <w:pPr>
              <w:widowControl/>
              <w:spacing w:line="360" w:lineRule="auto"/>
              <w:jc w:val="left"/>
              <w:rPr>
                <w:rFonts w:hint="eastAsia" w:cs="Tahoma"/>
                <w:color w:val="0000FF"/>
                <w:kern w:val="28"/>
                <w:sz w:val="21"/>
                <w:szCs w:val="21"/>
                <w:highlight w:val="none"/>
                <w:lang w:eastAsia="zh-CN"/>
              </w:rPr>
            </w:pPr>
            <w:r>
              <w:rPr>
                <w:rFonts w:hint="eastAsia" w:ascii="宋体" w:hAnsi="宋体" w:eastAsia="宋体" w:cs="宋体"/>
                <w:b w:val="0"/>
                <w:bCs w:val="0"/>
                <w:color w:val="auto"/>
                <w:spacing w:val="-3"/>
                <w:sz w:val="21"/>
                <w:szCs w:val="21"/>
                <w:highlight w:val="none"/>
                <w:lang w:val="en-US" w:eastAsia="zh-CN"/>
              </w:rPr>
              <w:t>本项目</w:t>
            </w:r>
            <w:r>
              <w:rPr>
                <w:rFonts w:hint="eastAsia" w:ascii="宋体" w:hAnsi="宋体" w:eastAsia="宋体" w:cs="宋体"/>
                <w:b w:val="0"/>
                <w:bCs w:val="0"/>
                <w:color w:val="auto"/>
                <w:spacing w:val="-3"/>
                <w:sz w:val="21"/>
                <w:szCs w:val="21"/>
                <w:highlight w:val="none"/>
              </w:rPr>
              <w:t>报价</w:t>
            </w:r>
            <w:r>
              <w:rPr>
                <w:rFonts w:hint="eastAsia" w:ascii="宋体" w:hAnsi="宋体" w:eastAsia="宋体" w:cs="宋体"/>
                <w:b w:val="0"/>
                <w:bCs w:val="0"/>
                <w:color w:val="auto"/>
                <w:spacing w:val="-3"/>
                <w:szCs w:val="21"/>
                <w:highlight w:val="none"/>
              </w:rPr>
              <w:t>包</w:t>
            </w:r>
            <w:r>
              <w:rPr>
                <w:rFonts w:hint="eastAsia" w:ascii="宋体" w:hAnsi="宋体" w:eastAsia="宋体" w:cs="宋体"/>
                <w:b w:val="0"/>
                <w:bCs w:val="0"/>
                <w:color w:val="auto"/>
                <w:spacing w:val="-3"/>
                <w:szCs w:val="21"/>
                <w:highlight w:val="none"/>
                <w:lang w:val="en-US" w:eastAsia="zh-CN"/>
              </w:rPr>
              <w:t>含</w:t>
            </w:r>
            <w:r>
              <w:rPr>
                <w:rFonts w:hint="eastAsia" w:ascii="宋体" w:hAnsi="宋体" w:cs="宋体"/>
                <w:b w:val="0"/>
                <w:bCs w:val="0"/>
                <w:color w:val="auto"/>
                <w:spacing w:val="-3"/>
                <w:szCs w:val="21"/>
                <w:highlight w:val="none"/>
                <w:lang w:val="en-US" w:eastAsia="zh-CN"/>
              </w:rPr>
              <w:t>服务期</w:t>
            </w:r>
            <w:r>
              <w:rPr>
                <w:rFonts w:hint="eastAsia" w:ascii="宋体" w:hAnsi="宋体" w:eastAsia="宋体" w:cs="宋体"/>
                <w:b w:val="0"/>
                <w:bCs w:val="0"/>
                <w:color w:val="auto"/>
                <w:spacing w:val="-3"/>
                <w:szCs w:val="21"/>
                <w:highlight w:val="none"/>
                <w:lang w:val="en-US" w:eastAsia="zh-CN"/>
              </w:rPr>
              <w:t>内涉及的所有第三方接口改造费用、技术相关费用、知识产权</w:t>
            </w:r>
            <w:r>
              <w:rPr>
                <w:rFonts w:hint="eastAsia" w:ascii="宋体" w:hAnsi="宋体" w:eastAsia="宋体" w:cs="宋体"/>
                <w:b w:val="0"/>
                <w:bCs w:val="0"/>
                <w:color w:val="auto"/>
                <w:spacing w:val="-3"/>
                <w:szCs w:val="21"/>
                <w:highlight w:val="none"/>
              </w:rPr>
              <w:t>、税费</w:t>
            </w:r>
            <w:r>
              <w:rPr>
                <w:rFonts w:hint="eastAsia" w:ascii="宋体" w:hAnsi="宋体" w:eastAsia="宋体" w:cs="宋体"/>
                <w:b w:val="0"/>
                <w:bCs w:val="0"/>
                <w:color w:val="auto"/>
                <w:spacing w:val="-3"/>
                <w:szCs w:val="21"/>
                <w:highlight w:val="none"/>
                <w:lang w:eastAsia="zh-CN"/>
              </w:rPr>
              <w:t>、</w:t>
            </w:r>
            <w:r>
              <w:rPr>
                <w:rFonts w:hint="eastAsia" w:ascii="宋体" w:hAnsi="宋体" w:eastAsia="宋体" w:cs="宋体"/>
                <w:b w:val="0"/>
                <w:bCs w:val="0"/>
                <w:color w:val="auto"/>
                <w:spacing w:val="-3"/>
                <w:szCs w:val="21"/>
                <w:highlight w:val="none"/>
                <w:lang w:val="en-US" w:eastAsia="zh-CN"/>
              </w:rPr>
              <w:t>专利</w:t>
            </w:r>
            <w:r>
              <w:rPr>
                <w:rFonts w:hint="eastAsia" w:ascii="宋体" w:hAnsi="宋体" w:eastAsia="宋体" w:cs="宋体"/>
                <w:b w:val="0"/>
                <w:bCs w:val="0"/>
                <w:color w:val="auto"/>
                <w:spacing w:val="-3"/>
                <w:szCs w:val="21"/>
                <w:highlight w:val="none"/>
              </w:rPr>
              <w:t>、</w:t>
            </w:r>
            <w:r>
              <w:rPr>
                <w:rFonts w:hint="eastAsia" w:ascii="宋体" w:hAnsi="宋体" w:eastAsia="宋体" w:cs="宋体"/>
                <w:b w:val="0"/>
                <w:bCs w:val="0"/>
                <w:color w:val="auto"/>
                <w:spacing w:val="-3"/>
                <w:szCs w:val="21"/>
                <w:highlight w:val="none"/>
                <w:lang w:val="en-US" w:eastAsia="zh-CN"/>
              </w:rPr>
              <w:t>货物成本、运输、安装、调试</w:t>
            </w:r>
            <w:r>
              <w:rPr>
                <w:rFonts w:hint="eastAsia" w:ascii="宋体" w:hAnsi="宋体" w:eastAsia="宋体" w:cs="宋体"/>
                <w:b w:val="0"/>
                <w:bCs w:val="0"/>
                <w:color w:val="auto"/>
                <w:spacing w:val="-3"/>
                <w:szCs w:val="21"/>
                <w:highlight w:val="none"/>
              </w:rPr>
              <w:t>、</w:t>
            </w:r>
            <w:r>
              <w:rPr>
                <w:rFonts w:hint="eastAsia" w:ascii="宋体" w:hAnsi="宋体" w:eastAsia="宋体" w:cs="宋体"/>
                <w:b w:val="0"/>
                <w:bCs w:val="0"/>
                <w:color w:val="auto"/>
                <w:spacing w:val="-3"/>
                <w:szCs w:val="21"/>
                <w:highlight w:val="none"/>
                <w:lang w:val="en-US" w:eastAsia="zh-CN"/>
              </w:rPr>
              <w:t>人工、</w:t>
            </w:r>
            <w:r>
              <w:rPr>
                <w:rFonts w:hint="eastAsia" w:ascii="宋体" w:hAnsi="宋体" w:eastAsia="宋体" w:cs="宋体"/>
                <w:b w:val="0"/>
                <w:bCs w:val="0"/>
                <w:color w:val="auto"/>
                <w:spacing w:val="-3"/>
                <w:szCs w:val="21"/>
                <w:highlight w:val="none"/>
              </w:rPr>
              <w:t>培训、验收等</w:t>
            </w:r>
            <w:r>
              <w:rPr>
                <w:rFonts w:hint="eastAsia" w:ascii="宋体" w:hAnsi="宋体" w:eastAsia="宋体" w:cs="宋体"/>
                <w:b w:val="0"/>
                <w:bCs w:val="0"/>
                <w:color w:val="auto"/>
                <w:spacing w:val="-3"/>
                <w:szCs w:val="21"/>
                <w:highlight w:val="none"/>
                <w:lang w:val="en-US" w:eastAsia="zh-CN"/>
              </w:rPr>
              <w:t>所有</w:t>
            </w:r>
            <w:r>
              <w:rPr>
                <w:rFonts w:hint="eastAsia" w:ascii="宋体" w:hAnsi="宋体" w:eastAsia="宋体" w:cs="宋体"/>
                <w:b w:val="0"/>
                <w:bCs w:val="0"/>
                <w:color w:val="auto"/>
                <w:spacing w:val="-3"/>
                <w:szCs w:val="21"/>
                <w:highlight w:val="none"/>
              </w:rPr>
              <w:t>完成</w:t>
            </w:r>
            <w:r>
              <w:rPr>
                <w:rFonts w:hint="eastAsia" w:ascii="宋体" w:hAnsi="宋体" w:eastAsia="宋体" w:cs="宋体"/>
                <w:b w:val="0"/>
                <w:bCs w:val="0"/>
                <w:color w:val="auto"/>
                <w:spacing w:val="-3"/>
                <w:szCs w:val="21"/>
                <w:highlight w:val="none"/>
                <w:lang w:eastAsia="zh-CN"/>
              </w:rPr>
              <w:t>采购</w:t>
            </w:r>
            <w:r>
              <w:rPr>
                <w:rFonts w:hint="eastAsia" w:ascii="宋体" w:hAnsi="宋体" w:eastAsia="宋体" w:cs="宋体"/>
                <w:b w:val="0"/>
                <w:bCs w:val="0"/>
                <w:color w:val="auto"/>
                <w:spacing w:val="-3"/>
                <w:szCs w:val="21"/>
                <w:highlight w:val="none"/>
              </w:rPr>
              <w:t>内容所需的</w:t>
            </w:r>
            <w:r>
              <w:rPr>
                <w:rFonts w:hint="eastAsia" w:ascii="宋体" w:hAnsi="宋体" w:eastAsia="宋体" w:cs="宋体"/>
                <w:b w:val="0"/>
                <w:bCs w:val="0"/>
                <w:color w:val="auto"/>
                <w:spacing w:val="-3"/>
                <w:szCs w:val="21"/>
                <w:highlight w:val="none"/>
                <w:lang w:val="en-US" w:eastAsia="zh-CN"/>
              </w:rPr>
              <w:t>含税</w:t>
            </w:r>
            <w:r>
              <w:rPr>
                <w:rFonts w:hint="eastAsia" w:ascii="宋体" w:hAnsi="宋体" w:eastAsia="宋体" w:cs="宋体"/>
                <w:b w:val="0"/>
                <w:bCs w:val="0"/>
                <w:color w:val="auto"/>
                <w:spacing w:val="-3"/>
                <w:szCs w:val="21"/>
                <w:highlight w:val="none"/>
              </w:rPr>
              <w:t>费用</w:t>
            </w:r>
            <w:r>
              <w:rPr>
                <w:rFonts w:hint="eastAsia" w:ascii="宋体" w:hAnsi="宋体" w:eastAsia="宋体" w:cs="宋体"/>
                <w:b w:val="0"/>
                <w:bCs w:val="0"/>
                <w:color w:val="auto"/>
                <w:spacing w:val="-3"/>
                <w:szCs w:val="21"/>
                <w:highlight w:val="none"/>
                <w:lang w:eastAsia="zh-CN"/>
              </w:rPr>
              <w:t>，</w:t>
            </w:r>
            <w:r>
              <w:rPr>
                <w:rFonts w:hint="eastAsia" w:ascii="宋体" w:hAnsi="宋体" w:eastAsia="宋体" w:cs="宋体"/>
                <w:b w:val="0"/>
                <w:bCs w:val="0"/>
                <w:color w:val="auto"/>
                <w:spacing w:val="-3"/>
                <w:szCs w:val="21"/>
                <w:highlight w:val="none"/>
                <w:lang w:val="en-US" w:eastAsia="zh-CN"/>
              </w:rPr>
              <w:t>项目实施及合同履行期间采购人不再额外支付其他任何费用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lang w:eastAsia="zh-CN"/>
              </w:rPr>
              <w:t>对所有内容进行</w:t>
            </w:r>
            <w:r>
              <w:rPr>
                <w:rFonts w:hint="eastAsia" w:ascii="宋体" w:hAnsi="宋体" w:eastAsia="宋体" w:cs="宋体"/>
                <w:b/>
                <w:bCs/>
                <w:color w:val="auto"/>
                <w:sz w:val="21"/>
                <w:szCs w:val="21"/>
                <w:highlight w:val="none"/>
                <w:lang w:val="en-US" w:eastAsia="zh-CN"/>
              </w:rPr>
              <w:t>一次性</w:t>
            </w:r>
            <w:r>
              <w:rPr>
                <w:rFonts w:hint="eastAsia" w:ascii="宋体" w:hAnsi="宋体" w:eastAsia="宋体" w:cs="宋体"/>
                <w:b/>
                <w:bCs/>
                <w:color w:val="auto"/>
                <w:sz w:val="21"/>
                <w:szCs w:val="21"/>
                <w:highlight w:val="none"/>
                <w:lang w:eastAsia="zh-CN"/>
              </w:rPr>
              <w:t>报价</w:t>
            </w:r>
            <w:r>
              <w:rPr>
                <w:rFonts w:hint="eastAsia" w:ascii="宋体" w:hAnsi="宋体" w:eastAsia="宋体" w:cs="宋体"/>
                <w:color w:val="auto"/>
                <w:sz w:val="21"/>
                <w:szCs w:val="21"/>
                <w:highlight w:val="none"/>
                <w:lang w:eastAsia="zh-CN"/>
              </w:rPr>
              <w:t>。</w:t>
            </w:r>
          </w:p>
        </w:tc>
      </w:tr>
    </w:tbl>
    <w:p/>
    <w:sectPr>
      <w:pgSz w:w="11906" w:h="16838"/>
      <w:pgMar w:top="1440" w:right="1800" w:bottom="1440" w:left="1800" w:header="851" w:footer="992" w:gutter="0"/>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0"/>
    <w:multiLevelType w:val="multilevel"/>
    <w:tmpl w:val="00000030"/>
    <w:lvl w:ilvl="0" w:tentative="0">
      <w:start w:val="1"/>
      <w:numFmt w:val="decimal"/>
      <w:lvlText w:val="%1."/>
      <w:lvlJc w:val="left"/>
      <w:pPr>
        <w:tabs>
          <w:tab w:val="left" w:pos="780"/>
        </w:tabs>
        <w:ind w:left="780" w:hanging="420"/>
      </w:pPr>
      <w:rPr>
        <w:rFonts w:hint="eastAsia"/>
      </w:rPr>
    </w:lvl>
    <w:lvl w:ilvl="1" w:tentative="0">
      <w:start w:val="1"/>
      <w:numFmt w:val="chineseCountingThousand"/>
      <w:lvlText w:val="(%2)"/>
      <w:lvlJc w:val="left"/>
      <w:pPr>
        <w:tabs>
          <w:tab w:val="left" w:pos="1200"/>
        </w:tabs>
        <w:ind w:left="1200" w:hanging="420"/>
      </w:pPr>
      <w:rPr>
        <w:b w:val="0"/>
      </w:rPr>
    </w:lvl>
    <w:lvl w:ilvl="2" w:tentative="0">
      <w:start w:val="1"/>
      <w:numFmt w:val="decimal"/>
      <w:lvlText w:val="%3."/>
      <w:lvlJc w:val="left"/>
      <w:pPr>
        <w:tabs>
          <w:tab w:val="left" w:pos="1560"/>
        </w:tabs>
        <w:ind w:left="1560" w:hanging="360"/>
      </w:pPr>
      <w:rPr>
        <w:rFonts w:hint="default"/>
        <w:b/>
        <w:sz w:val="21"/>
        <w:szCs w:val="21"/>
      </w:r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1F1E6A76"/>
    <w:multiLevelType w:val="multilevel"/>
    <w:tmpl w:val="1F1E6A76"/>
    <w:lvl w:ilvl="0" w:tentative="0">
      <w:start w:val="1"/>
      <w:numFmt w:val="decimal"/>
      <w:lvlText w:val="%1."/>
      <w:lvlJc w:val="left"/>
      <w:pPr>
        <w:tabs>
          <w:tab w:val="left" w:pos="780"/>
        </w:tabs>
        <w:ind w:left="780" w:hanging="420"/>
      </w:pPr>
      <w:rPr>
        <w:rFonts w:hint="eastAsia"/>
      </w:rPr>
    </w:lvl>
    <w:lvl w:ilvl="1" w:tentative="0">
      <w:start w:val="1"/>
      <w:numFmt w:val="chineseCountingThousand"/>
      <w:lvlText w:val="(%2)"/>
      <w:lvlJc w:val="left"/>
      <w:pPr>
        <w:tabs>
          <w:tab w:val="left" w:pos="1200"/>
        </w:tabs>
        <w:ind w:left="1200" w:hanging="420"/>
      </w:pPr>
      <w:rPr>
        <w:b w:val="0"/>
      </w:rPr>
    </w:lvl>
    <w:lvl w:ilvl="2" w:tentative="0">
      <w:start w:val="1"/>
      <w:numFmt w:val="decimal"/>
      <w:lvlText w:val="%3."/>
      <w:lvlJc w:val="left"/>
      <w:pPr>
        <w:tabs>
          <w:tab w:val="left" w:pos="1560"/>
        </w:tabs>
        <w:ind w:left="1560" w:hanging="360"/>
      </w:pPr>
      <w:rPr>
        <w:rFonts w:hint="default"/>
        <w:b/>
        <w:sz w:val="21"/>
        <w:szCs w:val="21"/>
      </w:r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00172A27"/>
    <w:rsid w:val="00506D12"/>
    <w:rsid w:val="007363B2"/>
    <w:rsid w:val="00B71F65"/>
    <w:rsid w:val="00CA613C"/>
    <w:rsid w:val="011C2BC5"/>
    <w:rsid w:val="013E4434"/>
    <w:rsid w:val="01CE57B8"/>
    <w:rsid w:val="01F760C7"/>
    <w:rsid w:val="026305F6"/>
    <w:rsid w:val="02644444"/>
    <w:rsid w:val="03305C7C"/>
    <w:rsid w:val="03403367"/>
    <w:rsid w:val="036A59B4"/>
    <w:rsid w:val="03E06E79"/>
    <w:rsid w:val="04194CE4"/>
    <w:rsid w:val="041D3215"/>
    <w:rsid w:val="04666BC2"/>
    <w:rsid w:val="04FC2564"/>
    <w:rsid w:val="050424F5"/>
    <w:rsid w:val="051756C8"/>
    <w:rsid w:val="05941873"/>
    <w:rsid w:val="059B1186"/>
    <w:rsid w:val="064E6D25"/>
    <w:rsid w:val="06FE6B3F"/>
    <w:rsid w:val="07CD4764"/>
    <w:rsid w:val="07D57174"/>
    <w:rsid w:val="08777DF5"/>
    <w:rsid w:val="091837BC"/>
    <w:rsid w:val="09322AD0"/>
    <w:rsid w:val="093E3993"/>
    <w:rsid w:val="09B7373C"/>
    <w:rsid w:val="09CB082F"/>
    <w:rsid w:val="0ABF5171"/>
    <w:rsid w:val="0B586502"/>
    <w:rsid w:val="0B9E60F0"/>
    <w:rsid w:val="0C0F0BAE"/>
    <w:rsid w:val="0C4274CE"/>
    <w:rsid w:val="0D02766C"/>
    <w:rsid w:val="0E0A14B8"/>
    <w:rsid w:val="0E2C7807"/>
    <w:rsid w:val="0E4137B5"/>
    <w:rsid w:val="0E77579C"/>
    <w:rsid w:val="0ECE5049"/>
    <w:rsid w:val="0ED42D25"/>
    <w:rsid w:val="0EE7610B"/>
    <w:rsid w:val="0FCC3993"/>
    <w:rsid w:val="102E102C"/>
    <w:rsid w:val="103B4960"/>
    <w:rsid w:val="10A047C3"/>
    <w:rsid w:val="10C8579F"/>
    <w:rsid w:val="10EC7A09"/>
    <w:rsid w:val="113F658E"/>
    <w:rsid w:val="116A4DD1"/>
    <w:rsid w:val="116A5271"/>
    <w:rsid w:val="116E479B"/>
    <w:rsid w:val="12FD532F"/>
    <w:rsid w:val="13180371"/>
    <w:rsid w:val="1351449B"/>
    <w:rsid w:val="13D604FC"/>
    <w:rsid w:val="13E26EA1"/>
    <w:rsid w:val="144731A8"/>
    <w:rsid w:val="144C07BE"/>
    <w:rsid w:val="14504752"/>
    <w:rsid w:val="14510446"/>
    <w:rsid w:val="14583F1C"/>
    <w:rsid w:val="14900FF3"/>
    <w:rsid w:val="14C10CA0"/>
    <w:rsid w:val="14F8407D"/>
    <w:rsid w:val="152C0D1B"/>
    <w:rsid w:val="15447579"/>
    <w:rsid w:val="15B47D77"/>
    <w:rsid w:val="15D078F9"/>
    <w:rsid w:val="167C0D32"/>
    <w:rsid w:val="16B34B25"/>
    <w:rsid w:val="179D7CAF"/>
    <w:rsid w:val="17BD25D3"/>
    <w:rsid w:val="1806231F"/>
    <w:rsid w:val="183F0D66"/>
    <w:rsid w:val="18A40BC9"/>
    <w:rsid w:val="18BF5A03"/>
    <w:rsid w:val="18F2402A"/>
    <w:rsid w:val="19067AD5"/>
    <w:rsid w:val="19CE23A1"/>
    <w:rsid w:val="1A463554"/>
    <w:rsid w:val="1A61454A"/>
    <w:rsid w:val="1A8F7469"/>
    <w:rsid w:val="1AE17E2F"/>
    <w:rsid w:val="1B50523B"/>
    <w:rsid w:val="1B852F33"/>
    <w:rsid w:val="1C186942"/>
    <w:rsid w:val="1CB02628"/>
    <w:rsid w:val="1D0C72F2"/>
    <w:rsid w:val="1D2E3157"/>
    <w:rsid w:val="1D74500E"/>
    <w:rsid w:val="1DBB4BA7"/>
    <w:rsid w:val="1E1C7453"/>
    <w:rsid w:val="1E313CA1"/>
    <w:rsid w:val="1E8C72C6"/>
    <w:rsid w:val="1EB21A9C"/>
    <w:rsid w:val="1ECE7A8E"/>
    <w:rsid w:val="1EF3606E"/>
    <w:rsid w:val="1F89453A"/>
    <w:rsid w:val="1FED554B"/>
    <w:rsid w:val="206C2914"/>
    <w:rsid w:val="206F2211"/>
    <w:rsid w:val="20894ECA"/>
    <w:rsid w:val="208C08C0"/>
    <w:rsid w:val="20AA2B83"/>
    <w:rsid w:val="213C0ED8"/>
    <w:rsid w:val="218B6DCA"/>
    <w:rsid w:val="21C1459A"/>
    <w:rsid w:val="22657436"/>
    <w:rsid w:val="22A77C33"/>
    <w:rsid w:val="22CE65EE"/>
    <w:rsid w:val="23140AB8"/>
    <w:rsid w:val="237763F3"/>
    <w:rsid w:val="237A0EA4"/>
    <w:rsid w:val="23847F75"/>
    <w:rsid w:val="239D3CDF"/>
    <w:rsid w:val="23B2192A"/>
    <w:rsid w:val="243C11D8"/>
    <w:rsid w:val="244B2752"/>
    <w:rsid w:val="24FC00E1"/>
    <w:rsid w:val="252512E3"/>
    <w:rsid w:val="2622355E"/>
    <w:rsid w:val="26482AC2"/>
    <w:rsid w:val="267A5FE7"/>
    <w:rsid w:val="26B80661"/>
    <w:rsid w:val="26C11862"/>
    <w:rsid w:val="26E1123A"/>
    <w:rsid w:val="26F60B6E"/>
    <w:rsid w:val="26FC3FD7"/>
    <w:rsid w:val="274041B2"/>
    <w:rsid w:val="27496A54"/>
    <w:rsid w:val="279558CC"/>
    <w:rsid w:val="27AE2608"/>
    <w:rsid w:val="27C43035"/>
    <w:rsid w:val="27D2323C"/>
    <w:rsid w:val="27E20326"/>
    <w:rsid w:val="289E3886"/>
    <w:rsid w:val="28C01A4F"/>
    <w:rsid w:val="29143B49"/>
    <w:rsid w:val="297E3B7D"/>
    <w:rsid w:val="29E10124"/>
    <w:rsid w:val="2A781EB5"/>
    <w:rsid w:val="2A832D34"/>
    <w:rsid w:val="2AAF0753"/>
    <w:rsid w:val="2AE35581"/>
    <w:rsid w:val="2B253A23"/>
    <w:rsid w:val="2B4B159E"/>
    <w:rsid w:val="2BAC0068"/>
    <w:rsid w:val="2C5030EA"/>
    <w:rsid w:val="2D2970B8"/>
    <w:rsid w:val="2D384314"/>
    <w:rsid w:val="2D3B78F6"/>
    <w:rsid w:val="2D8D3ECA"/>
    <w:rsid w:val="2DB41456"/>
    <w:rsid w:val="2DD155BD"/>
    <w:rsid w:val="2EC92CDF"/>
    <w:rsid w:val="2F015510"/>
    <w:rsid w:val="301F58A8"/>
    <w:rsid w:val="30E7440A"/>
    <w:rsid w:val="31F84007"/>
    <w:rsid w:val="31FA1A73"/>
    <w:rsid w:val="32582CF8"/>
    <w:rsid w:val="32A61EBA"/>
    <w:rsid w:val="32ED1692"/>
    <w:rsid w:val="33122EA7"/>
    <w:rsid w:val="33EB08E8"/>
    <w:rsid w:val="342C5AFE"/>
    <w:rsid w:val="35266C07"/>
    <w:rsid w:val="35470E02"/>
    <w:rsid w:val="362508B5"/>
    <w:rsid w:val="36806379"/>
    <w:rsid w:val="36835A94"/>
    <w:rsid w:val="36AE0ABB"/>
    <w:rsid w:val="375A12C0"/>
    <w:rsid w:val="37F05781"/>
    <w:rsid w:val="386E258E"/>
    <w:rsid w:val="38B12743"/>
    <w:rsid w:val="39070FD4"/>
    <w:rsid w:val="39311BAD"/>
    <w:rsid w:val="397C3770"/>
    <w:rsid w:val="39EB4B32"/>
    <w:rsid w:val="39F2758E"/>
    <w:rsid w:val="3A655FB2"/>
    <w:rsid w:val="3A7322CD"/>
    <w:rsid w:val="3A9647B8"/>
    <w:rsid w:val="3AE43D6C"/>
    <w:rsid w:val="3B5D312D"/>
    <w:rsid w:val="3B6C15C2"/>
    <w:rsid w:val="3B8A1D23"/>
    <w:rsid w:val="3C09304C"/>
    <w:rsid w:val="3C096E11"/>
    <w:rsid w:val="3C867CC7"/>
    <w:rsid w:val="3C8F37BA"/>
    <w:rsid w:val="3CF63839"/>
    <w:rsid w:val="3D4A3641"/>
    <w:rsid w:val="3D7824A0"/>
    <w:rsid w:val="3D995914"/>
    <w:rsid w:val="3E14026A"/>
    <w:rsid w:val="3ED41958"/>
    <w:rsid w:val="3F570B59"/>
    <w:rsid w:val="3F9C53AA"/>
    <w:rsid w:val="3FD64037"/>
    <w:rsid w:val="402E2E54"/>
    <w:rsid w:val="40803221"/>
    <w:rsid w:val="40F265CE"/>
    <w:rsid w:val="4181740A"/>
    <w:rsid w:val="41C7679A"/>
    <w:rsid w:val="41F94893"/>
    <w:rsid w:val="42010CB6"/>
    <w:rsid w:val="42444AFC"/>
    <w:rsid w:val="42786A9F"/>
    <w:rsid w:val="42E67EAC"/>
    <w:rsid w:val="43122A4F"/>
    <w:rsid w:val="43853221"/>
    <w:rsid w:val="447D214A"/>
    <w:rsid w:val="44C53903"/>
    <w:rsid w:val="46196816"/>
    <w:rsid w:val="46342CDD"/>
    <w:rsid w:val="46431172"/>
    <w:rsid w:val="46D83FB0"/>
    <w:rsid w:val="46EA24C2"/>
    <w:rsid w:val="47221596"/>
    <w:rsid w:val="477A2191"/>
    <w:rsid w:val="477A5E97"/>
    <w:rsid w:val="47993115"/>
    <w:rsid w:val="47DA69CD"/>
    <w:rsid w:val="47F6064A"/>
    <w:rsid w:val="482F43E6"/>
    <w:rsid w:val="48654144"/>
    <w:rsid w:val="48855A71"/>
    <w:rsid w:val="48C62921"/>
    <w:rsid w:val="49064E04"/>
    <w:rsid w:val="49115557"/>
    <w:rsid w:val="496C7815"/>
    <w:rsid w:val="4974287C"/>
    <w:rsid w:val="497873C2"/>
    <w:rsid w:val="4A5A617D"/>
    <w:rsid w:val="4AA470ED"/>
    <w:rsid w:val="4B2C6678"/>
    <w:rsid w:val="4BAB1C93"/>
    <w:rsid w:val="4BBA2F9C"/>
    <w:rsid w:val="4BE64A79"/>
    <w:rsid w:val="4C04739B"/>
    <w:rsid w:val="4C115F9A"/>
    <w:rsid w:val="4C3E0D97"/>
    <w:rsid w:val="4C831B11"/>
    <w:rsid w:val="4C95525D"/>
    <w:rsid w:val="4CCA1F54"/>
    <w:rsid w:val="4CDC02C0"/>
    <w:rsid w:val="4D226C01"/>
    <w:rsid w:val="4D3B518A"/>
    <w:rsid w:val="4DA76E86"/>
    <w:rsid w:val="4DD03C33"/>
    <w:rsid w:val="4ED73208"/>
    <w:rsid w:val="4FA633E1"/>
    <w:rsid w:val="4FAE58AE"/>
    <w:rsid w:val="500A342C"/>
    <w:rsid w:val="50120532"/>
    <w:rsid w:val="5032028D"/>
    <w:rsid w:val="50E11FE6"/>
    <w:rsid w:val="50F66007"/>
    <w:rsid w:val="510065DD"/>
    <w:rsid w:val="51025EB1"/>
    <w:rsid w:val="51182254"/>
    <w:rsid w:val="51A96C75"/>
    <w:rsid w:val="51BB2504"/>
    <w:rsid w:val="51DA1917"/>
    <w:rsid w:val="52283A2F"/>
    <w:rsid w:val="52C048CE"/>
    <w:rsid w:val="52D56B62"/>
    <w:rsid w:val="52E15F9A"/>
    <w:rsid w:val="533A326E"/>
    <w:rsid w:val="53EA69D1"/>
    <w:rsid w:val="53F71F19"/>
    <w:rsid w:val="545255FD"/>
    <w:rsid w:val="54DA7990"/>
    <w:rsid w:val="54FA3343"/>
    <w:rsid w:val="551F4FC7"/>
    <w:rsid w:val="55DA1525"/>
    <w:rsid w:val="5613290E"/>
    <w:rsid w:val="56B259B1"/>
    <w:rsid w:val="570C3DA6"/>
    <w:rsid w:val="57391A72"/>
    <w:rsid w:val="584D2B97"/>
    <w:rsid w:val="594E6601"/>
    <w:rsid w:val="59D16397"/>
    <w:rsid w:val="5A127D6D"/>
    <w:rsid w:val="5A5D684E"/>
    <w:rsid w:val="5AA93A49"/>
    <w:rsid w:val="5AB87C0C"/>
    <w:rsid w:val="5AE2592E"/>
    <w:rsid w:val="5AF54D54"/>
    <w:rsid w:val="5B112DF2"/>
    <w:rsid w:val="5B2C211E"/>
    <w:rsid w:val="5B976A81"/>
    <w:rsid w:val="5BB406F0"/>
    <w:rsid w:val="5C571220"/>
    <w:rsid w:val="5C9B540C"/>
    <w:rsid w:val="5D015BB7"/>
    <w:rsid w:val="5D2D0A72"/>
    <w:rsid w:val="5D700646"/>
    <w:rsid w:val="5DB26EB1"/>
    <w:rsid w:val="5E5502C9"/>
    <w:rsid w:val="5F646D0F"/>
    <w:rsid w:val="5F652DB2"/>
    <w:rsid w:val="602B0459"/>
    <w:rsid w:val="604F643C"/>
    <w:rsid w:val="60BF3DBF"/>
    <w:rsid w:val="611E0FEE"/>
    <w:rsid w:val="612754C0"/>
    <w:rsid w:val="61816051"/>
    <w:rsid w:val="624B5D7A"/>
    <w:rsid w:val="62A35127"/>
    <w:rsid w:val="6375489A"/>
    <w:rsid w:val="63D80CF3"/>
    <w:rsid w:val="64A42F05"/>
    <w:rsid w:val="64CA764A"/>
    <w:rsid w:val="65DD3A72"/>
    <w:rsid w:val="668E7B0D"/>
    <w:rsid w:val="66D5737F"/>
    <w:rsid w:val="67145733"/>
    <w:rsid w:val="6757085B"/>
    <w:rsid w:val="681F38AA"/>
    <w:rsid w:val="686C7083"/>
    <w:rsid w:val="68C34857"/>
    <w:rsid w:val="691427CE"/>
    <w:rsid w:val="699A3C09"/>
    <w:rsid w:val="69C44C29"/>
    <w:rsid w:val="6A04634A"/>
    <w:rsid w:val="6A6262E0"/>
    <w:rsid w:val="6C797762"/>
    <w:rsid w:val="6CA65FF8"/>
    <w:rsid w:val="6D323B6A"/>
    <w:rsid w:val="6D8E6FF3"/>
    <w:rsid w:val="6DDA6C97"/>
    <w:rsid w:val="6E2C680B"/>
    <w:rsid w:val="6E975E98"/>
    <w:rsid w:val="6EE3336E"/>
    <w:rsid w:val="6F307C36"/>
    <w:rsid w:val="6FB46AB9"/>
    <w:rsid w:val="70082960"/>
    <w:rsid w:val="70422316"/>
    <w:rsid w:val="708F0B65"/>
    <w:rsid w:val="719F48F9"/>
    <w:rsid w:val="71DD7E2B"/>
    <w:rsid w:val="72135D18"/>
    <w:rsid w:val="72D1785E"/>
    <w:rsid w:val="736B748E"/>
    <w:rsid w:val="73942E89"/>
    <w:rsid w:val="73B34EF3"/>
    <w:rsid w:val="73B61A65"/>
    <w:rsid w:val="73CF2113"/>
    <w:rsid w:val="740A6037"/>
    <w:rsid w:val="746803C6"/>
    <w:rsid w:val="746C5BB4"/>
    <w:rsid w:val="7482736A"/>
    <w:rsid w:val="74F11C15"/>
    <w:rsid w:val="751A5B91"/>
    <w:rsid w:val="75C3637C"/>
    <w:rsid w:val="75C55EA3"/>
    <w:rsid w:val="760A0EE8"/>
    <w:rsid w:val="765B7C8E"/>
    <w:rsid w:val="76AC2297"/>
    <w:rsid w:val="76AC673B"/>
    <w:rsid w:val="76D812DE"/>
    <w:rsid w:val="77BA6C36"/>
    <w:rsid w:val="77BC55B0"/>
    <w:rsid w:val="77CB35B3"/>
    <w:rsid w:val="78DC77CF"/>
    <w:rsid w:val="78F06000"/>
    <w:rsid w:val="79116D2A"/>
    <w:rsid w:val="7A773F9E"/>
    <w:rsid w:val="7B7A6E08"/>
    <w:rsid w:val="7B7B66DC"/>
    <w:rsid w:val="7C093CE8"/>
    <w:rsid w:val="7C626554"/>
    <w:rsid w:val="7D0E5A5A"/>
    <w:rsid w:val="7D933F7B"/>
    <w:rsid w:val="7E2B6198"/>
    <w:rsid w:val="7E4E1E86"/>
    <w:rsid w:val="7EF5194D"/>
    <w:rsid w:val="7F945FBF"/>
    <w:rsid w:val="7FCA4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1846" w:right="1919"/>
      <w:jc w:val="center"/>
      <w:outlineLvl w:val="0"/>
    </w:pPr>
    <w:rPr>
      <w:b/>
      <w:bCs/>
      <w:sz w:val="38"/>
      <w:szCs w:val="38"/>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spacing w:line="460" w:lineRule="exact"/>
      <w:outlineLvl w:val="2"/>
    </w:pPr>
    <w:rPr>
      <w:rFonts w:ascii="宋体" w:hAnsi="宋体"/>
      <w:b/>
      <w:bCs/>
      <w:sz w:val="3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table of authorities"/>
    <w:basedOn w:val="1"/>
    <w:next w:val="1"/>
    <w:unhideWhenUsed/>
    <w:qFormat/>
    <w:uiPriority w:val="99"/>
    <w:pPr>
      <w:tabs>
        <w:tab w:val="decimal" w:pos="315"/>
        <w:tab w:val="left" w:pos="630"/>
      </w:tabs>
      <w:ind w:left="420" w:leftChars="200"/>
    </w:pPr>
  </w:style>
  <w:style w:type="paragraph" w:styleId="7">
    <w:name w:val="Normal Indent"/>
    <w:basedOn w:val="1"/>
    <w:qFormat/>
    <w:uiPriority w:val="0"/>
    <w:pPr>
      <w:widowControl w:val="0"/>
      <w:ind w:firstLine="420"/>
      <w:jc w:val="both"/>
    </w:pPr>
    <w:rPr>
      <w:kern w:val="2"/>
    </w:rPr>
  </w:style>
  <w:style w:type="paragraph" w:styleId="8">
    <w:name w:val="Body Text 2"/>
    <w:basedOn w:val="1"/>
    <w:unhideWhenUsed/>
    <w:qFormat/>
    <w:uiPriority w:val="99"/>
    <w:pPr>
      <w:spacing w:after="120" w:line="480" w:lineRule="auto"/>
    </w:pPr>
  </w:style>
  <w:style w:type="table" w:styleId="10">
    <w:name w:val="Table Grid"/>
    <w:basedOn w:val="9"/>
    <w:qFormat/>
    <w:uiPriority w:val="0"/>
    <w:pPr>
      <w:widowControl w:val="0"/>
      <w:spacing w:line="400" w:lineRule="exact"/>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13">
    <w:name w:val="列出段落1"/>
    <w:basedOn w:val="1"/>
    <w:qFormat/>
    <w:uiPriority w:val="34"/>
    <w:pPr>
      <w:ind w:firstLine="420" w:firstLineChars="200"/>
    </w:pPr>
  </w:style>
  <w:style w:type="paragraph" w:customStyle="1" w:styleId="14">
    <w:name w:val="投标正文小四"/>
    <w:basedOn w:val="1"/>
    <w:qFormat/>
    <w:uiPriority w:val="0"/>
    <w:pPr>
      <w:spacing w:line="360" w:lineRule="auto"/>
      <w:ind w:firstLine="200" w:firstLineChars="200"/>
    </w:pPr>
    <w:rPr>
      <w:sz w:val="24"/>
    </w:rPr>
  </w:style>
  <w:style w:type="paragraph" w:styleId="15">
    <w:name w:val="List Paragraph"/>
    <w:basedOn w:val="1"/>
    <w:qFormat/>
    <w:uiPriority w:val="34"/>
    <w:pPr>
      <w:ind w:firstLine="420" w:firstLineChars="200"/>
    </w:pPr>
  </w:style>
  <w:style w:type="paragraph" w:customStyle="1" w:styleId="16">
    <w:name w:val="列出段落"/>
    <w:basedOn w:val="1"/>
    <w:qFormat/>
    <w:uiPriority w:val="0"/>
    <w:pPr>
      <w:ind w:firstLine="420" w:firstLineChars="200"/>
    </w:pPr>
    <w:rPr>
      <w:rFonts w:ascii="Calibri" w:hAnsi="Calibri" w:cs="宋体"/>
    </w:rPr>
  </w:style>
  <w:style w:type="paragraph" w:customStyle="1" w:styleId="17">
    <w:name w:val="列表段落2"/>
    <w:basedOn w:val="1"/>
    <w:qFormat/>
    <w:uiPriority w:val="0"/>
    <w:pPr>
      <w:ind w:firstLine="420" w:firstLineChars="200"/>
    </w:pPr>
    <w:rPr>
      <w:szCs w:val="21"/>
    </w:rPr>
  </w:style>
  <w:style w:type="paragraph" w:customStyle="1" w:styleId="18">
    <w:name w:val="列表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2151</Words>
  <Characters>2204</Characters>
  <Lines>0</Lines>
  <Paragraphs>0</Paragraphs>
  <TotalTime>7</TotalTime>
  <ScaleCrop>false</ScaleCrop>
  <LinksUpToDate>false</LinksUpToDate>
  <CharactersWithSpaces>2219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2024-05-24T01:11:00Z</dcterms:created>
  <dc:creator>Administrator</dc:creator>
  <cp:lastModifiedBy>燕</cp:lastModifiedBy>
  <dcterms:modified xsi:type="dcterms:W3CDTF">2024-12-27T11:15:47Z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B4279E04B3BE40FD87C2E32B1C9C2AE0_13</vt:lpwstr>
  </property>
</Properties>
</file>