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color w:val="000000"/>
        </w:rPr>
      </w:pPr>
      <w:r>
        <w:rPr>
          <w:rFonts w:hint="eastAsia"/>
          <w:color w:val="000000"/>
        </w:rPr>
        <w:t>附件</w:t>
      </w:r>
      <w:r>
        <w:rPr>
          <w:rFonts w:hint="eastAsia"/>
          <w:color w:val="000000"/>
          <w:lang w:val="en-US" w:eastAsia="zh-CN"/>
        </w:rPr>
        <w:t>4</w:t>
      </w:r>
      <w:r>
        <w:rPr>
          <w:rFonts w:hint="eastAsia"/>
          <w:color w:val="000000"/>
        </w:rPr>
        <w:t>：</w:t>
      </w:r>
    </w:p>
    <w:p>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4、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pPr>
        <w:numPr>
          <w:ilvl w:val="0"/>
          <w:numId w:val="0"/>
        </w:numPr>
        <w:spacing w:line="360" w:lineRule="auto"/>
        <w:ind w:firstLine="420" w:firstLineChars="200"/>
        <w:rPr>
          <w:rFonts w:hint="eastAsia" w:ascii="宋体" w:hAnsi="宋体"/>
          <w:b w:val="0"/>
          <w:bCs w:val="0"/>
          <w:szCs w:val="21"/>
          <w:highlight w:val="none"/>
          <w:lang w:val="en-US" w:eastAsia="zh-CN"/>
        </w:rPr>
      </w:pPr>
      <w:r>
        <w:rPr>
          <w:rFonts w:hint="eastAsia" w:ascii="宋体" w:hAnsi="宋体" w:eastAsia="宋体" w:cs="Times New Roman"/>
          <w:b w:val="0"/>
          <w:bCs w:val="0"/>
          <w:kern w:val="2"/>
          <w:sz w:val="21"/>
          <w:szCs w:val="21"/>
          <w:lang w:val="en-US" w:eastAsia="zh-CN" w:bidi="ar-SA"/>
        </w:rPr>
        <w:t>6、</w:t>
      </w:r>
      <w:r>
        <w:rPr>
          <w:rFonts w:hint="eastAsia" w:ascii="宋体" w:hAnsi="宋体"/>
          <w:b w:val="0"/>
          <w:bCs w:val="0"/>
          <w:szCs w:val="21"/>
          <w:highlight w:val="none"/>
          <w:lang w:val="en-US" w:eastAsia="zh-CN"/>
        </w:rPr>
        <w:t>成交供应商未向采购人来书面函退出或违反采购文件规定的，则采购人视为该成交供应商放弃成交资格。采购人可以按照评审报告的成交候选人名单顺序，确定下一候选人为成交供应商，也可以重新开展采购活动。</w:t>
      </w:r>
    </w:p>
    <w:p>
      <w:pPr>
        <w:spacing w:line="360" w:lineRule="auto"/>
        <w:ind w:firstLine="420" w:firstLineChars="200"/>
        <w:rPr>
          <w:rFonts w:hint="eastAsia" w:ascii="宋体" w:hAnsi="宋体" w:eastAsia="宋体" w:cs="宋体"/>
          <w:szCs w:val="21"/>
        </w:rPr>
      </w:pPr>
    </w:p>
    <w:p>
      <w:pPr>
        <w:pStyle w:val="4"/>
        <w:ind w:left="0"/>
        <w:jc w:val="center"/>
        <w:rPr>
          <w:rFonts w:hint="default"/>
          <w:sz w:val="28"/>
          <w:szCs w:val="28"/>
          <w:lang w:val="en-US" w:eastAsia="zh-CN"/>
        </w:rPr>
      </w:pPr>
      <w:r>
        <w:rPr>
          <w:rFonts w:hint="eastAsia" w:ascii="宋体" w:hAnsi="宋体" w:cs="宋体"/>
          <w:b/>
          <w:bCs/>
          <w:sz w:val="28"/>
          <w:szCs w:val="28"/>
          <w:lang w:val="en-US" w:eastAsia="zh-CN"/>
        </w:rPr>
        <w:t>附表：</w:t>
      </w:r>
      <w:r>
        <w:rPr>
          <w:rFonts w:hint="eastAsia" w:ascii="宋体" w:hAnsi="宋体" w:cs="宋体"/>
          <w:b/>
          <w:bCs/>
          <w:sz w:val="28"/>
          <w:szCs w:val="28"/>
          <w:lang w:eastAsia="zh-CN"/>
        </w:rPr>
        <w:t>中山市黄圃人民医院移动护理系统服务</w:t>
      </w:r>
      <w:r>
        <w:rPr>
          <w:rFonts w:hint="eastAsia" w:ascii="宋体" w:hAnsi="宋体" w:eastAsia="宋体" w:cs="宋体"/>
          <w:b/>
          <w:bCs/>
          <w:sz w:val="28"/>
          <w:szCs w:val="28"/>
        </w:rPr>
        <w:t>评分表</w:t>
      </w:r>
    </w:p>
    <w:tbl>
      <w:tblPr>
        <w:tblStyle w:val="6"/>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087"/>
        <w:gridCol w:w="644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16" w:type="dxa"/>
            <w:noWrap w:val="0"/>
            <w:vAlign w:val="center"/>
          </w:tcPr>
          <w:p>
            <w:pPr>
              <w:pStyle w:val="5"/>
              <w:tabs>
                <w:tab w:val="clear" w:pos="4153"/>
                <w:tab w:val="clear" w:pos="8306"/>
              </w:tabs>
              <w:snapToGrid/>
              <w:spacing w:line="360" w:lineRule="auto"/>
              <w:jc w:val="center"/>
              <w:rPr>
                <w:rFonts w:hint="eastAsia" w:ascii="宋体" w:hAnsi="宋体" w:eastAsia="宋体" w:cs="宋体"/>
                <w:b/>
                <w:bCs/>
                <w:color w:val="auto"/>
                <w:sz w:val="21"/>
                <w:szCs w:val="21"/>
                <w:lang w:eastAsia="zh-CN"/>
              </w:rPr>
            </w:pPr>
            <w:bookmarkStart w:id="0" w:name="OLE_LINK2"/>
            <w:r>
              <w:rPr>
                <w:rFonts w:hint="eastAsia" w:ascii="宋体" w:hAnsi="宋体" w:cs="宋体"/>
                <w:b/>
                <w:bCs/>
                <w:color w:val="auto"/>
                <w:sz w:val="21"/>
                <w:szCs w:val="21"/>
                <w:lang w:eastAsia="zh-CN"/>
              </w:rPr>
              <w:t>项目</w:t>
            </w:r>
          </w:p>
        </w:tc>
        <w:tc>
          <w:tcPr>
            <w:tcW w:w="1087" w:type="dxa"/>
            <w:noWrap w:val="0"/>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6443" w:type="dxa"/>
            <w:noWrap w:val="0"/>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restart"/>
            <w:noWrap w:val="0"/>
            <w:vAlign w:val="center"/>
          </w:tcPr>
          <w:p>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r>
              <w:rPr>
                <w:rFonts w:hint="eastAsia" w:ascii="宋体" w:hAnsi="宋体" w:eastAsia="宋体" w:cs="宋体"/>
                <w:color w:val="auto"/>
                <w:spacing w:val="15"/>
                <w:kern w:val="0"/>
                <w:szCs w:val="21"/>
                <w:shd w:val="clear" w:color="auto" w:fill="FFFFFF"/>
                <w:lang w:val="en-US" w:eastAsia="zh-CN"/>
              </w:rPr>
              <w:t>商务技术部分</w:t>
            </w:r>
          </w:p>
        </w:tc>
        <w:tc>
          <w:tcPr>
            <w:tcW w:w="1087" w:type="dxa"/>
            <w:noWrap w:val="0"/>
            <w:vAlign w:val="center"/>
          </w:tcPr>
          <w:p>
            <w:pPr>
              <w:tabs>
                <w:tab w:val="decimal" w:pos="315"/>
                <w:tab w:val="left" w:pos="630"/>
              </w:tabs>
              <w:spacing w:line="276" w:lineRule="auto"/>
              <w:jc w:val="center"/>
              <w:rPr>
                <w:rFonts w:hint="eastAsia" w:ascii="宋体" w:hAnsi="宋体"/>
                <w:color w:val="auto"/>
                <w:szCs w:val="21"/>
                <w:highlight w:val="none"/>
              </w:rPr>
            </w:pPr>
            <w:r>
              <w:rPr>
                <w:rFonts w:hint="eastAsia"/>
                <w:color w:val="auto"/>
              </w:rPr>
              <w:t>运维方案</w:t>
            </w:r>
          </w:p>
        </w:tc>
        <w:tc>
          <w:tcPr>
            <w:tcW w:w="6443" w:type="dxa"/>
            <w:noWrap w:val="0"/>
            <w:vAlign w:val="center"/>
          </w:tcPr>
          <w:p>
            <w:pPr>
              <w:tabs>
                <w:tab w:val="decimal" w:pos="315"/>
                <w:tab w:val="left" w:pos="630"/>
              </w:tabs>
              <w:spacing w:line="276" w:lineRule="auto"/>
              <w:rPr>
                <w:rFonts w:hint="eastAsia"/>
                <w:color w:val="auto"/>
                <w:highlight w:val="none"/>
              </w:rPr>
            </w:pPr>
            <w:r>
              <w:rPr>
                <w:rFonts w:hint="eastAsia"/>
                <w:color w:val="auto"/>
                <w:highlight w:val="none"/>
              </w:rPr>
              <w:t>根据</w:t>
            </w:r>
            <w:r>
              <w:rPr>
                <w:rFonts w:hint="eastAsia"/>
                <w:color w:val="auto"/>
                <w:highlight w:val="none"/>
                <w:lang w:eastAsia="zh-CN"/>
              </w:rPr>
              <w:t>供应商</w:t>
            </w:r>
            <w:r>
              <w:rPr>
                <w:rFonts w:hint="eastAsia"/>
                <w:color w:val="auto"/>
                <w:highlight w:val="none"/>
              </w:rPr>
              <w:t>对项目的运维方案进行评审：</w:t>
            </w:r>
          </w:p>
          <w:p>
            <w:pPr>
              <w:tabs>
                <w:tab w:val="decimal" w:pos="315"/>
                <w:tab w:val="left" w:pos="630"/>
              </w:tabs>
              <w:spacing w:line="276" w:lineRule="auto"/>
              <w:rPr>
                <w:rFonts w:hint="eastAsia"/>
                <w:color w:val="auto"/>
                <w:highlight w:val="none"/>
              </w:rPr>
            </w:pPr>
            <w:r>
              <w:rPr>
                <w:rFonts w:hint="eastAsia"/>
                <w:color w:val="auto"/>
                <w:highlight w:val="none"/>
                <w:lang w:val="en-US" w:eastAsia="zh-CN"/>
              </w:rPr>
              <w:t>1、</w:t>
            </w:r>
            <w:r>
              <w:rPr>
                <w:rFonts w:hint="eastAsia"/>
                <w:color w:val="auto"/>
                <w:highlight w:val="none"/>
              </w:rPr>
              <w:t>维护方案全面完整合理；流程制度规范；日常维护作业、巡检作业</w:t>
            </w:r>
            <w:r>
              <w:rPr>
                <w:rFonts w:hint="eastAsia"/>
                <w:color w:val="auto"/>
                <w:highlight w:val="none"/>
                <w:lang w:eastAsia="zh-CN"/>
              </w:rPr>
              <w:t>可行性强</w:t>
            </w:r>
            <w:r>
              <w:rPr>
                <w:rFonts w:hint="eastAsia"/>
                <w:color w:val="auto"/>
                <w:highlight w:val="none"/>
              </w:rPr>
              <w:t>；有合理的应急响应方案，得20分；</w:t>
            </w:r>
          </w:p>
          <w:p>
            <w:pPr>
              <w:tabs>
                <w:tab w:val="decimal" w:pos="315"/>
                <w:tab w:val="left" w:pos="630"/>
              </w:tabs>
              <w:spacing w:line="276" w:lineRule="auto"/>
              <w:rPr>
                <w:rFonts w:hint="eastAsia"/>
                <w:color w:val="auto"/>
                <w:highlight w:val="none"/>
              </w:rPr>
            </w:pPr>
            <w:r>
              <w:rPr>
                <w:rFonts w:hint="eastAsia"/>
                <w:color w:val="auto"/>
                <w:highlight w:val="none"/>
                <w:lang w:val="en-US" w:eastAsia="zh-CN"/>
              </w:rPr>
              <w:t>2、</w:t>
            </w:r>
            <w:r>
              <w:rPr>
                <w:rFonts w:hint="eastAsia"/>
                <w:color w:val="auto"/>
                <w:highlight w:val="none"/>
              </w:rPr>
              <w:t>维护方案</w:t>
            </w:r>
            <w:r>
              <w:rPr>
                <w:rFonts w:hint="eastAsia"/>
                <w:color w:val="auto"/>
                <w:highlight w:val="none"/>
                <w:lang w:eastAsia="zh-CN"/>
              </w:rPr>
              <w:t>基本合理、</w:t>
            </w:r>
            <w:r>
              <w:rPr>
                <w:rFonts w:hint="eastAsia"/>
                <w:color w:val="auto"/>
                <w:highlight w:val="none"/>
              </w:rPr>
              <w:t>流程制度</w:t>
            </w:r>
            <w:r>
              <w:rPr>
                <w:rFonts w:hint="eastAsia"/>
                <w:color w:val="auto"/>
                <w:highlight w:val="none"/>
                <w:lang w:eastAsia="zh-CN"/>
              </w:rPr>
              <w:t>较</w:t>
            </w:r>
            <w:r>
              <w:rPr>
                <w:rFonts w:hint="eastAsia"/>
                <w:color w:val="auto"/>
                <w:highlight w:val="none"/>
              </w:rPr>
              <w:t>规范</w:t>
            </w:r>
            <w:r>
              <w:rPr>
                <w:rFonts w:hint="eastAsia"/>
                <w:color w:val="auto"/>
                <w:highlight w:val="none"/>
                <w:lang w:eastAsia="zh-CN"/>
              </w:rPr>
              <w:t>、</w:t>
            </w:r>
            <w:r>
              <w:rPr>
                <w:rFonts w:hint="eastAsia"/>
                <w:color w:val="auto"/>
                <w:highlight w:val="none"/>
              </w:rPr>
              <w:t>日常维护作业</w:t>
            </w:r>
            <w:r>
              <w:rPr>
                <w:rFonts w:hint="eastAsia"/>
                <w:color w:val="auto"/>
                <w:highlight w:val="none"/>
                <w:lang w:eastAsia="zh-CN"/>
              </w:rPr>
              <w:t>及</w:t>
            </w:r>
            <w:r>
              <w:rPr>
                <w:rFonts w:hint="eastAsia"/>
                <w:color w:val="auto"/>
                <w:highlight w:val="none"/>
              </w:rPr>
              <w:t>巡检作业</w:t>
            </w:r>
            <w:r>
              <w:rPr>
                <w:rFonts w:hint="eastAsia"/>
                <w:color w:val="auto"/>
                <w:highlight w:val="none"/>
                <w:lang w:eastAsia="zh-CN"/>
              </w:rPr>
              <w:t>可行性较强、</w:t>
            </w:r>
            <w:r>
              <w:rPr>
                <w:rFonts w:hint="eastAsia"/>
                <w:color w:val="auto"/>
                <w:highlight w:val="none"/>
              </w:rPr>
              <w:t>应急响应方案基本满足项目需求，得1</w:t>
            </w:r>
            <w:r>
              <w:rPr>
                <w:rFonts w:hint="eastAsia"/>
                <w:color w:val="auto"/>
                <w:highlight w:val="none"/>
                <w:lang w:val="en-US" w:eastAsia="zh-CN"/>
              </w:rPr>
              <w:t>5</w:t>
            </w:r>
            <w:r>
              <w:rPr>
                <w:rFonts w:hint="eastAsia"/>
                <w:color w:val="auto"/>
                <w:highlight w:val="none"/>
              </w:rPr>
              <w:t>分；</w:t>
            </w:r>
          </w:p>
          <w:p>
            <w:pPr>
              <w:tabs>
                <w:tab w:val="decimal" w:pos="315"/>
                <w:tab w:val="left" w:pos="630"/>
              </w:tabs>
              <w:spacing w:line="276" w:lineRule="auto"/>
              <w:rPr>
                <w:rFonts w:hint="eastAsia"/>
                <w:color w:val="auto"/>
                <w:highlight w:val="none"/>
              </w:rPr>
            </w:pPr>
            <w:r>
              <w:rPr>
                <w:rFonts w:hint="eastAsia"/>
                <w:color w:val="auto"/>
                <w:highlight w:val="none"/>
                <w:lang w:val="en-US" w:eastAsia="zh-CN"/>
              </w:rPr>
              <w:t>3、</w:t>
            </w:r>
            <w:r>
              <w:rPr>
                <w:rFonts w:hint="eastAsia"/>
                <w:color w:val="auto"/>
                <w:highlight w:val="none"/>
              </w:rPr>
              <w:t>维护方案</w:t>
            </w:r>
            <w:r>
              <w:rPr>
                <w:rFonts w:hint="eastAsia"/>
                <w:color w:val="auto"/>
                <w:highlight w:val="none"/>
                <w:lang w:eastAsia="zh-CN"/>
              </w:rPr>
              <w:t>一般、</w:t>
            </w:r>
            <w:r>
              <w:rPr>
                <w:rFonts w:hint="eastAsia"/>
                <w:color w:val="auto"/>
                <w:highlight w:val="none"/>
              </w:rPr>
              <w:t>流程制度</w:t>
            </w:r>
            <w:r>
              <w:rPr>
                <w:rFonts w:hint="eastAsia"/>
                <w:color w:val="auto"/>
                <w:highlight w:val="none"/>
                <w:lang w:eastAsia="zh-CN"/>
              </w:rPr>
              <w:t>一般、</w:t>
            </w:r>
            <w:r>
              <w:rPr>
                <w:rFonts w:hint="eastAsia"/>
                <w:color w:val="auto"/>
                <w:highlight w:val="none"/>
              </w:rPr>
              <w:t>日常维护作业</w:t>
            </w:r>
            <w:r>
              <w:rPr>
                <w:rFonts w:hint="eastAsia"/>
                <w:color w:val="auto"/>
                <w:highlight w:val="none"/>
                <w:lang w:eastAsia="zh-CN"/>
              </w:rPr>
              <w:t>及</w:t>
            </w:r>
            <w:r>
              <w:rPr>
                <w:rFonts w:hint="eastAsia"/>
                <w:color w:val="auto"/>
                <w:highlight w:val="none"/>
              </w:rPr>
              <w:t>巡检作业</w:t>
            </w:r>
            <w:r>
              <w:rPr>
                <w:rFonts w:hint="eastAsia"/>
                <w:color w:val="auto"/>
                <w:highlight w:val="none"/>
                <w:lang w:eastAsia="zh-CN"/>
              </w:rPr>
              <w:t>可行性一般、</w:t>
            </w:r>
            <w:r>
              <w:rPr>
                <w:rFonts w:hint="eastAsia"/>
                <w:color w:val="auto"/>
                <w:highlight w:val="none"/>
              </w:rPr>
              <w:t>应急响应方案</w:t>
            </w:r>
            <w:r>
              <w:rPr>
                <w:rFonts w:hint="eastAsia"/>
                <w:color w:val="auto"/>
                <w:highlight w:val="none"/>
                <w:lang w:eastAsia="zh-CN"/>
              </w:rPr>
              <w:t>一般</w:t>
            </w:r>
            <w:r>
              <w:rPr>
                <w:rFonts w:hint="eastAsia"/>
                <w:color w:val="auto"/>
                <w:highlight w:val="none"/>
              </w:rPr>
              <w:t>，得</w:t>
            </w:r>
            <w:r>
              <w:rPr>
                <w:rFonts w:hint="eastAsia"/>
                <w:color w:val="auto"/>
                <w:highlight w:val="none"/>
                <w:lang w:val="en-US" w:eastAsia="zh-CN"/>
              </w:rPr>
              <w:t>10</w:t>
            </w:r>
            <w:r>
              <w:rPr>
                <w:rFonts w:hint="eastAsia"/>
                <w:color w:val="auto"/>
                <w:highlight w:val="none"/>
              </w:rPr>
              <w:t>分；</w:t>
            </w:r>
          </w:p>
          <w:p>
            <w:pPr>
              <w:tabs>
                <w:tab w:val="decimal" w:pos="315"/>
                <w:tab w:val="left" w:pos="630"/>
              </w:tabs>
              <w:spacing w:line="276" w:lineRule="auto"/>
              <w:rPr>
                <w:rFonts w:hint="eastAsia"/>
                <w:color w:val="auto"/>
                <w:highlight w:val="none"/>
              </w:rPr>
            </w:pPr>
            <w:r>
              <w:rPr>
                <w:rFonts w:hint="eastAsia"/>
                <w:color w:val="auto"/>
                <w:highlight w:val="none"/>
                <w:lang w:val="en-US" w:eastAsia="zh-CN"/>
              </w:rPr>
              <w:t>4、</w:t>
            </w:r>
            <w:r>
              <w:rPr>
                <w:rFonts w:hint="eastAsia"/>
                <w:color w:val="auto"/>
                <w:highlight w:val="none"/>
              </w:rPr>
              <w:t>维护方案</w:t>
            </w:r>
            <w:r>
              <w:rPr>
                <w:rFonts w:hint="eastAsia"/>
                <w:color w:val="auto"/>
                <w:highlight w:val="none"/>
                <w:lang w:eastAsia="zh-CN"/>
              </w:rPr>
              <w:t>较差、</w:t>
            </w:r>
            <w:r>
              <w:rPr>
                <w:rFonts w:hint="eastAsia"/>
                <w:color w:val="auto"/>
                <w:highlight w:val="none"/>
              </w:rPr>
              <w:t>流程制度</w:t>
            </w:r>
            <w:r>
              <w:rPr>
                <w:rFonts w:hint="eastAsia"/>
                <w:color w:val="auto"/>
                <w:highlight w:val="none"/>
                <w:lang w:eastAsia="zh-CN"/>
              </w:rPr>
              <w:t>较差、</w:t>
            </w:r>
            <w:r>
              <w:rPr>
                <w:rFonts w:hint="eastAsia"/>
                <w:color w:val="auto"/>
                <w:highlight w:val="none"/>
              </w:rPr>
              <w:t>日常维护作业</w:t>
            </w:r>
            <w:r>
              <w:rPr>
                <w:rFonts w:hint="eastAsia"/>
                <w:color w:val="auto"/>
                <w:highlight w:val="none"/>
                <w:lang w:eastAsia="zh-CN"/>
              </w:rPr>
              <w:t>及</w:t>
            </w:r>
            <w:r>
              <w:rPr>
                <w:rFonts w:hint="eastAsia"/>
                <w:color w:val="auto"/>
                <w:highlight w:val="none"/>
              </w:rPr>
              <w:t>巡检作业</w:t>
            </w:r>
            <w:r>
              <w:rPr>
                <w:rFonts w:hint="eastAsia"/>
                <w:color w:val="auto"/>
                <w:highlight w:val="none"/>
                <w:lang w:eastAsia="zh-CN"/>
              </w:rPr>
              <w:t>可行性较差、</w:t>
            </w:r>
            <w:r>
              <w:rPr>
                <w:rFonts w:hint="eastAsia"/>
                <w:color w:val="auto"/>
                <w:highlight w:val="none"/>
              </w:rPr>
              <w:t>应急响应方案</w:t>
            </w:r>
            <w:r>
              <w:rPr>
                <w:rFonts w:hint="eastAsia"/>
                <w:color w:val="auto"/>
                <w:highlight w:val="none"/>
                <w:lang w:eastAsia="zh-CN"/>
              </w:rPr>
              <w:t>较差</w:t>
            </w:r>
            <w:r>
              <w:rPr>
                <w:rFonts w:hint="eastAsia"/>
                <w:color w:val="auto"/>
                <w:highlight w:val="none"/>
              </w:rPr>
              <w:t>，得</w:t>
            </w:r>
            <w:r>
              <w:rPr>
                <w:rFonts w:hint="eastAsia"/>
                <w:color w:val="auto"/>
                <w:highlight w:val="none"/>
                <w:lang w:val="en-US" w:eastAsia="zh-CN"/>
              </w:rPr>
              <w:t>5</w:t>
            </w:r>
            <w:r>
              <w:rPr>
                <w:rFonts w:hint="eastAsia"/>
                <w:color w:val="auto"/>
                <w:highlight w:val="none"/>
              </w:rPr>
              <w:t>分；</w:t>
            </w:r>
          </w:p>
          <w:p>
            <w:pPr>
              <w:tabs>
                <w:tab w:val="decimal" w:pos="315"/>
                <w:tab w:val="left" w:pos="630"/>
              </w:tabs>
              <w:spacing w:line="276" w:lineRule="auto"/>
              <w:rPr>
                <w:rFonts w:hint="eastAsia" w:ascii="宋体" w:hAnsi="宋体" w:cs="宋体"/>
                <w:b/>
                <w:bCs w:val="0"/>
                <w:color w:val="auto"/>
                <w:highlight w:val="yellow"/>
                <w:lang w:val="zh-CN"/>
              </w:rPr>
            </w:pPr>
            <w:r>
              <w:rPr>
                <w:rFonts w:hint="eastAsia"/>
                <w:color w:val="auto"/>
                <w:highlight w:val="none"/>
              </w:rPr>
              <w:t>注：未提供方案不得分。</w:t>
            </w:r>
          </w:p>
        </w:tc>
        <w:tc>
          <w:tcPr>
            <w:tcW w:w="809" w:type="dxa"/>
            <w:noWrap w:val="0"/>
            <w:vAlign w:val="center"/>
          </w:tcPr>
          <w:p>
            <w:pPr>
              <w:tabs>
                <w:tab w:val="decimal" w:pos="315"/>
                <w:tab w:val="left" w:pos="630"/>
              </w:tabs>
              <w:spacing w:line="276" w:lineRule="auto"/>
              <w:jc w:val="center"/>
              <w:rPr>
                <w:rFonts w:hint="eastAsia" w:ascii="宋体" w:hAnsi="宋体"/>
                <w:color w:val="auto"/>
                <w:sz w:val="21"/>
                <w:szCs w:val="21"/>
                <w:highlight w:val="none"/>
                <w:lang w:val="en-US" w:eastAsia="zh-CN"/>
              </w:rPr>
            </w:pPr>
            <w:r>
              <w:rPr>
                <w:rFonts w:hint="eastAsia"/>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6" w:type="dxa"/>
            <w:vMerge w:val="continue"/>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pPr>
              <w:tabs>
                <w:tab w:val="decimal" w:pos="315"/>
                <w:tab w:val="left" w:pos="630"/>
              </w:tabs>
              <w:spacing w:line="276" w:lineRule="auto"/>
              <w:jc w:val="center"/>
              <w:rPr>
                <w:rFonts w:hint="eastAsia" w:ascii="宋体" w:hAnsi="宋体"/>
                <w:color w:val="auto"/>
                <w:szCs w:val="21"/>
                <w:highlight w:val="none"/>
              </w:rPr>
            </w:pPr>
            <w:r>
              <w:rPr>
                <w:rFonts w:hint="eastAsia"/>
                <w:lang w:val="en-US"/>
              </w:rPr>
              <w:t>与现有信息系统的整合与对接方案</w:t>
            </w:r>
          </w:p>
        </w:tc>
        <w:tc>
          <w:tcPr>
            <w:tcW w:w="6443" w:type="dxa"/>
            <w:noWrap w:val="0"/>
            <w:vAlign w:val="center"/>
          </w:tcPr>
          <w:p>
            <w:pPr>
              <w:tabs>
                <w:tab w:val="decimal" w:pos="315"/>
                <w:tab w:val="left" w:pos="630"/>
              </w:tabs>
              <w:spacing w:line="276" w:lineRule="auto"/>
              <w:rPr>
                <w:rFonts w:hint="eastAsia"/>
                <w:color w:val="auto"/>
                <w:lang w:val="en-US"/>
              </w:rPr>
            </w:pPr>
            <w:r>
              <w:rPr>
                <w:rFonts w:hint="eastAsia"/>
                <w:color w:val="auto"/>
                <w:lang w:val="en-US"/>
              </w:rPr>
              <w:t>根据</w:t>
            </w:r>
            <w:r>
              <w:rPr>
                <w:rFonts w:hint="eastAsia"/>
                <w:color w:val="auto"/>
                <w:lang w:val="en-US" w:eastAsia="zh-CN"/>
              </w:rPr>
              <w:t>采购</w:t>
            </w:r>
            <w:r>
              <w:rPr>
                <w:rFonts w:hint="eastAsia"/>
                <w:color w:val="auto"/>
                <w:lang w:val="en-US"/>
              </w:rPr>
              <w:t>要求，针对</w:t>
            </w:r>
            <w:r>
              <w:rPr>
                <w:rFonts w:hint="eastAsia"/>
                <w:color w:val="auto"/>
                <w:lang w:val="en-US" w:eastAsia="zh-CN"/>
              </w:rPr>
              <w:t>供应商</w:t>
            </w:r>
            <w:r>
              <w:rPr>
                <w:rFonts w:hint="eastAsia"/>
                <w:color w:val="auto"/>
                <w:lang w:val="en-US"/>
              </w:rPr>
              <w:t>提供的与现有信息系统的整合与对接方案进行评审：</w:t>
            </w:r>
          </w:p>
          <w:p>
            <w:pPr>
              <w:tabs>
                <w:tab w:val="decimal" w:pos="315"/>
                <w:tab w:val="left" w:pos="630"/>
              </w:tabs>
              <w:spacing w:line="276" w:lineRule="auto"/>
              <w:rPr>
                <w:rFonts w:hint="eastAsia"/>
                <w:color w:val="auto"/>
                <w:lang w:val="en-US"/>
              </w:rPr>
            </w:pPr>
            <w:r>
              <w:rPr>
                <w:rFonts w:hint="eastAsia"/>
                <w:color w:val="auto"/>
                <w:lang w:val="en-US"/>
              </w:rPr>
              <w:t>1、方案合理、内容完整、专业性强、措施详细的，得10分；</w:t>
            </w:r>
          </w:p>
          <w:p>
            <w:pPr>
              <w:tabs>
                <w:tab w:val="decimal" w:pos="315"/>
                <w:tab w:val="left" w:pos="630"/>
              </w:tabs>
              <w:spacing w:line="276" w:lineRule="auto"/>
              <w:rPr>
                <w:rFonts w:hint="eastAsia"/>
                <w:color w:val="auto"/>
                <w:lang w:val="en-US"/>
              </w:rPr>
            </w:pPr>
            <w:r>
              <w:rPr>
                <w:rFonts w:hint="eastAsia"/>
                <w:color w:val="auto"/>
                <w:lang w:val="en-US"/>
              </w:rPr>
              <w:t>2、方案较为合理、内容较为充实、专业性</w:t>
            </w:r>
            <w:r>
              <w:rPr>
                <w:rFonts w:hint="eastAsia"/>
                <w:color w:val="auto"/>
                <w:lang w:val="en-US" w:eastAsia="zh-CN"/>
              </w:rPr>
              <w:t>较强</w:t>
            </w:r>
            <w:r>
              <w:rPr>
                <w:rFonts w:hint="eastAsia"/>
                <w:color w:val="auto"/>
                <w:lang w:val="en-US"/>
              </w:rPr>
              <w:t>、措施</w:t>
            </w:r>
            <w:r>
              <w:rPr>
                <w:rFonts w:hint="eastAsia"/>
                <w:color w:val="auto"/>
                <w:lang w:val="en-US" w:eastAsia="zh-CN"/>
              </w:rPr>
              <w:t>较详细</w:t>
            </w:r>
            <w:r>
              <w:rPr>
                <w:rFonts w:hint="eastAsia"/>
                <w:color w:val="auto"/>
                <w:lang w:val="en-US"/>
              </w:rPr>
              <w:t>的，得6分；</w:t>
            </w:r>
          </w:p>
          <w:p>
            <w:pPr>
              <w:tabs>
                <w:tab w:val="decimal" w:pos="315"/>
                <w:tab w:val="left" w:pos="630"/>
              </w:tabs>
              <w:spacing w:line="276" w:lineRule="auto"/>
              <w:rPr>
                <w:rFonts w:hint="eastAsia"/>
                <w:color w:val="auto"/>
                <w:lang w:val="en-US"/>
              </w:rPr>
            </w:pPr>
            <w:r>
              <w:rPr>
                <w:rFonts w:hint="eastAsia"/>
                <w:color w:val="auto"/>
                <w:lang w:val="en-US"/>
              </w:rPr>
              <w:t>3、方案欠合理、内容欠全面、专业性一般、措施不详的，得</w:t>
            </w:r>
            <w:r>
              <w:rPr>
                <w:rFonts w:hint="eastAsia"/>
                <w:color w:val="auto"/>
                <w:lang w:val="en-US" w:eastAsia="zh-CN"/>
              </w:rPr>
              <w:t>2</w:t>
            </w:r>
            <w:r>
              <w:rPr>
                <w:rFonts w:hint="eastAsia"/>
                <w:color w:val="auto"/>
                <w:lang w:val="en-US"/>
              </w:rPr>
              <w:t>分；</w:t>
            </w:r>
          </w:p>
          <w:p>
            <w:pPr>
              <w:tabs>
                <w:tab w:val="decimal" w:pos="315"/>
                <w:tab w:val="left" w:pos="630"/>
              </w:tabs>
              <w:spacing w:line="276" w:lineRule="auto"/>
              <w:rPr>
                <w:rFonts w:hint="eastAsia" w:ascii="宋体" w:hAnsi="宋体" w:cs="宋体"/>
                <w:b/>
                <w:bCs w:val="0"/>
                <w:color w:val="auto"/>
                <w:highlight w:val="yellow"/>
                <w:lang w:val="zh-CN"/>
              </w:rPr>
            </w:pPr>
            <w:r>
              <w:rPr>
                <w:rFonts w:hint="eastAsia"/>
                <w:color w:val="auto"/>
                <w:highlight w:val="none"/>
              </w:rPr>
              <w:t>注：未提供方案不得分。</w:t>
            </w:r>
          </w:p>
        </w:tc>
        <w:tc>
          <w:tcPr>
            <w:tcW w:w="809" w:type="dxa"/>
            <w:noWrap w:val="0"/>
            <w:vAlign w:val="center"/>
          </w:tcPr>
          <w:p>
            <w:pPr>
              <w:tabs>
                <w:tab w:val="decimal" w:pos="315"/>
                <w:tab w:val="left" w:pos="630"/>
              </w:tabs>
              <w:spacing w:line="276" w:lineRule="auto"/>
              <w:jc w:val="center"/>
              <w:rPr>
                <w:rFonts w:hint="default" w:ascii="宋体" w:hAnsi="宋体"/>
                <w:color w:val="auto"/>
                <w:sz w:val="21"/>
                <w:szCs w:val="21"/>
                <w:highlight w:val="none"/>
                <w:lang w:val="en-US" w:eastAsia="zh-CN"/>
              </w:rPr>
            </w:pPr>
            <w:r>
              <w:rPr>
                <w:rFonts w:hint="eastAsia" w:ascii="Times New Roman" w:hAnsi="Times New Roman" w:eastAsia="宋体" w:cs="Times New Roman"/>
                <w:lang w:val="en-US" w:eastAsia="zh-CN"/>
              </w:rPr>
              <w:t>1</w:t>
            </w:r>
            <w:r>
              <w:rPr>
                <w:rFonts w:hint="eastAsia" w:cs="Times New Roman"/>
                <w:lang w:val="en-US" w:eastAsia="zh-CN"/>
              </w:rPr>
              <w:t>0</w:t>
            </w:r>
            <w:r>
              <w:rPr>
                <w:rFonts w:hint="eastAsia" w:ascii="宋体" w:hAnsi="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6" w:type="dxa"/>
            <w:vMerge w:val="continue"/>
            <w:noWrap w:val="0"/>
            <w:vAlign w:val="center"/>
          </w:tcPr>
          <w:p>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087" w:type="dxa"/>
            <w:noWrap w:val="0"/>
            <w:vAlign w:val="center"/>
          </w:tcPr>
          <w:p>
            <w:pPr>
              <w:tabs>
                <w:tab w:val="decimal" w:pos="315"/>
                <w:tab w:val="left" w:pos="630"/>
              </w:tabs>
              <w:spacing w:line="276" w:lineRule="auto"/>
              <w:jc w:val="center"/>
              <w:rPr>
                <w:rFonts w:hint="eastAsia"/>
                <w:lang w:val="en-US"/>
              </w:rPr>
            </w:pPr>
            <w:r>
              <w:rPr>
                <w:rFonts w:hint="eastAsia"/>
                <w:lang w:val="en-US"/>
              </w:rPr>
              <w:t>服务</w:t>
            </w:r>
          </w:p>
          <w:p>
            <w:pPr>
              <w:tabs>
                <w:tab w:val="decimal" w:pos="315"/>
                <w:tab w:val="left" w:pos="630"/>
              </w:tabs>
              <w:spacing w:line="276" w:lineRule="auto"/>
              <w:jc w:val="center"/>
              <w:rPr>
                <w:rFonts w:ascii="宋体" w:hAnsi="宋体"/>
                <w:color w:val="auto"/>
                <w:szCs w:val="21"/>
              </w:rPr>
            </w:pPr>
            <w:r>
              <w:rPr>
                <w:rFonts w:hint="eastAsia"/>
                <w:lang w:val="en-US"/>
              </w:rPr>
              <w:t>体系</w:t>
            </w:r>
          </w:p>
        </w:tc>
        <w:tc>
          <w:tcPr>
            <w:tcW w:w="6443" w:type="dxa"/>
            <w:noWrap w:val="0"/>
            <w:vAlign w:val="center"/>
          </w:tcPr>
          <w:p>
            <w:pPr>
              <w:tabs>
                <w:tab w:val="decimal" w:pos="315"/>
                <w:tab w:val="left" w:pos="630"/>
              </w:tabs>
              <w:spacing w:line="276" w:lineRule="auto"/>
              <w:rPr>
                <w:rFonts w:hint="default" w:ascii="宋体" w:eastAsia="宋体" w:cs="宋体"/>
                <w:bCs/>
                <w:color w:val="000000"/>
                <w:sz w:val="21"/>
                <w:szCs w:val="21"/>
                <w:lang w:val="zh-CN"/>
              </w:rPr>
            </w:pPr>
            <w:r>
              <w:rPr>
                <w:rFonts w:hint="default" w:ascii="宋体" w:eastAsia="宋体" w:cs="宋体"/>
                <w:bCs/>
                <w:color w:val="000000"/>
                <w:sz w:val="21"/>
                <w:szCs w:val="21"/>
                <w:lang w:val="zh-CN"/>
              </w:rPr>
              <w:t>考察</w:t>
            </w:r>
            <w:r>
              <w:rPr>
                <w:rFonts w:hint="eastAsia" w:ascii="宋体" w:cs="宋体"/>
                <w:bCs/>
                <w:color w:val="000000"/>
                <w:sz w:val="21"/>
                <w:szCs w:val="21"/>
                <w:lang w:val="zh-CN"/>
              </w:rPr>
              <w:t>供应商</w:t>
            </w:r>
            <w:r>
              <w:rPr>
                <w:rFonts w:hint="default" w:ascii="宋体" w:eastAsia="宋体" w:cs="宋体"/>
                <w:bCs/>
                <w:color w:val="000000"/>
                <w:sz w:val="21"/>
                <w:szCs w:val="21"/>
                <w:lang w:val="zh-CN"/>
              </w:rPr>
              <w:t>服务体系、故障申报途径、一站式服务体系等。</w:t>
            </w:r>
          </w:p>
          <w:p>
            <w:pPr>
              <w:tabs>
                <w:tab w:val="decimal" w:pos="315"/>
                <w:tab w:val="left" w:pos="630"/>
              </w:tabs>
              <w:spacing w:line="276" w:lineRule="auto"/>
              <w:rPr>
                <w:rFonts w:hint="default" w:ascii="宋体" w:eastAsia="宋体" w:cs="宋体"/>
                <w:bCs/>
                <w:color w:val="000000"/>
                <w:sz w:val="21"/>
                <w:szCs w:val="21"/>
                <w:lang w:val="zh-CN"/>
              </w:rPr>
            </w:pPr>
            <w:r>
              <w:rPr>
                <w:rFonts w:hint="eastAsia" w:ascii="宋体" w:cs="宋体"/>
                <w:bCs/>
                <w:color w:val="000000"/>
                <w:sz w:val="21"/>
                <w:szCs w:val="21"/>
                <w:lang w:val="en-US" w:eastAsia="zh-CN"/>
              </w:rPr>
              <w:t>1、</w:t>
            </w:r>
            <w:r>
              <w:rPr>
                <w:rFonts w:hint="default" w:ascii="宋体" w:eastAsia="宋体" w:cs="宋体"/>
                <w:bCs/>
                <w:color w:val="000000"/>
                <w:sz w:val="21"/>
                <w:szCs w:val="21"/>
                <w:lang w:val="zh-CN"/>
              </w:rPr>
              <w:t>服务体系、故障申报途径，一站式服务体系等详细可行，服务体系均满足项目要求，得10分；</w:t>
            </w:r>
          </w:p>
          <w:p>
            <w:pPr>
              <w:tabs>
                <w:tab w:val="decimal" w:pos="315"/>
                <w:tab w:val="left" w:pos="630"/>
              </w:tabs>
              <w:spacing w:line="276" w:lineRule="auto"/>
              <w:rPr>
                <w:rFonts w:hint="default" w:ascii="宋体" w:eastAsia="宋体" w:cs="宋体"/>
                <w:bCs/>
                <w:color w:val="000000"/>
                <w:sz w:val="21"/>
                <w:szCs w:val="21"/>
                <w:lang w:val="zh-CN"/>
              </w:rPr>
            </w:pPr>
            <w:r>
              <w:rPr>
                <w:rFonts w:hint="eastAsia" w:ascii="宋体" w:cs="宋体"/>
                <w:bCs/>
                <w:color w:val="000000"/>
                <w:sz w:val="21"/>
                <w:szCs w:val="21"/>
                <w:lang w:val="en-US" w:eastAsia="zh-CN"/>
              </w:rPr>
              <w:t>2、</w:t>
            </w:r>
            <w:r>
              <w:rPr>
                <w:rFonts w:hint="default" w:ascii="宋体" w:eastAsia="宋体" w:cs="宋体"/>
                <w:bCs/>
                <w:color w:val="000000"/>
                <w:sz w:val="21"/>
                <w:szCs w:val="21"/>
                <w:lang w:val="zh-CN"/>
              </w:rPr>
              <w:t>服务体系、故障申报途径，一站式服务体系等较详细可行，服务体系</w:t>
            </w:r>
            <w:r>
              <w:rPr>
                <w:rFonts w:hint="eastAsia" w:ascii="宋体" w:cs="宋体"/>
                <w:bCs/>
                <w:color w:val="000000"/>
                <w:sz w:val="21"/>
                <w:szCs w:val="21"/>
                <w:lang w:val="zh-CN"/>
              </w:rPr>
              <w:t>基本</w:t>
            </w:r>
            <w:r>
              <w:rPr>
                <w:rFonts w:hint="default" w:ascii="宋体" w:eastAsia="宋体" w:cs="宋体"/>
                <w:bCs/>
                <w:color w:val="000000"/>
                <w:sz w:val="21"/>
                <w:szCs w:val="21"/>
                <w:lang w:val="zh-CN"/>
              </w:rPr>
              <w:t>满足项目要求，得</w:t>
            </w:r>
            <w:r>
              <w:rPr>
                <w:rFonts w:hint="eastAsia" w:ascii="宋体" w:cs="宋体"/>
                <w:bCs/>
                <w:color w:val="000000"/>
                <w:sz w:val="21"/>
                <w:szCs w:val="21"/>
                <w:lang w:val="en-US" w:eastAsia="zh-CN"/>
              </w:rPr>
              <w:t>6</w:t>
            </w:r>
            <w:r>
              <w:rPr>
                <w:rFonts w:hint="default" w:ascii="宋体" w:eastAsia="宋体" w:cs="宋体"/>
                <w:bCs/>
                <w:color w:val="000000"/>
                <w:sz w:val="21"/>
                <w:szCs w:val="21"/>
                <w:lang w:val="zh-CN"/>
              </w:rPr>
              <w:t>分；</w:t>
            </w:r>
          </w:p>
          <w:p>
            <w:pPr>
              <w:tabs>
                <w:tab w:val="decimal" w:pos="315"/>
                <w:tab w:val="left" w:pos="630"/>
              </w:tabs>
              <w:spacing w:line="276" w:lineRule="auto"/>
              <w:rPr>
                <w:rFonts w:hint="default" w:ascii="宋体" w:eastAsia="宋体" w:cs="宋体"/>
                <w:bCs/>
                <w:color w:val="000000"/>
                <w:sz w:val="21"/>
                <w:szCs w:val="21"/>
                <w:lang w:val="zh-CN"/>
              </w:rPr>
            </w:pPr>
            <w:r>
              <w:rPr>
                <w:rFonts w:hint="eastAsia" w:ascii="宋体" w:cs="宋体"/>
                <w:bCs/>
                <w:color w:val="000000"/>
                <w:sz w:val="21"/>
                <w:szCs w:val="21"/>
                <w:lang w:val="en-US" w:eastAsia="zh-CN"/>
              </w:rPr>
              <w:t>3、</w:t>
            </w:r>
            <w:r>
              <w:rPr>
                <w:rFonts w:hint="default" w:ascii="宋体" w:eastAsia="宋体" w:cs="宋体"/>
                <w:bCs/>
                <w:color w:val="000000"/>
                <w:sz w:val="21"/>
                <w:szCs w:val="21"/>
                <w:lang w:val="zh-CN"/>
              </w:rPr>
              <w:t>服务体系、故障申报途径</w:t>
            </w:r>
            <w:r>
              <w:rPr>
                <w:rFonts w:hint="eastAsia" w:ascii="宋体" w:cs="宋体"/>
                <w:bCs/>
                <w:color w:val="000000"/>
                <w:sz w:val="21"/>
                <w:szCs w:val="21"/>
                <w:lang w:val="zh-CN"/>
              </w:rPr>
              <w:t>，</w:t>
            </w:r>
            <w:r>
              <w:rPr>
                <w:rFonts w:hint="default" w:ascii="宋体" w:eastAsia="宋体" w:cs="宋体"/>
                <w:bCs/>
                <w:color w:val="000000"/>
                <w:sz w:val="21"/>
                <w:szCs w:val="21"/>
                <w:lang w:val="zh-CN"/>
              </w:rPr>
              <w:t>一站式服务体系等</w:t>
            </w:r>
            <w:r>
              <w:rPr>
                <w:rFonts w:hint="eastAsia" w:ascii="宋体" w:cs="宋体"/>
                <w:bCs/>
                <w:color w:val="000000"/>
                <w:sz w:val="21"/>
                <w:szCs w:val="21"/>
                <w:lang w:val="zh-CN"/>
              </w:rPr>
              <w:t>不</w:t>
            </w:r>
            <w:r>
              <w:rPr>
                <w:rFonts w:hint="default" w:ascii="宋体" w:eastAsia="宋体" w:cs="宋体"/>
                <w:bCs/>
                <w:color w:val="000000"/>
                <w:sz w:val="21"/>
                <w:szCs w:val="21"/>
                <w:lang w:val="zh-CN"/>
              </w:rPr>
              <w:t>详，服务体系</w:t>
            </w:r>
            <w:r>
              <w:rPr>
                <w:rFonts w:hint="eastAsia" w:ascii="宋体" w:cs="宋体"/>
                <w:bCs/>
                <w:color w:val="000000"/>
                <w:sz w:val="21"/>
                <w:szCs w:val="21"/>
                <w:lang w:val="zh-CN"/>
              </w:rPr>
              <w:t>未能</w:t>
            </w:r>
            <w:r>
              <w:rPr>
                <w:rFonts w:hint="default" w:ascii="宋体" w:eastAsia="宋体" w:cs="宋体"/>
                <w:bCs/>
                <w:color w:val="000000"/>
                <w:sz w:val="21"/>
                <w:szCs w:val="21"/>
                <w:lang w:val="zh-CN"/>
              </w:rPr>
              <w:t>满足项目要求，得</w:t>
            </w:r>
            <w:r>
              <w:rPr>
                <w:rFonts w:hint="eastAsia" w:ascii="宋体" w:cs="宋体"/>
                <w:bCs/>
                <w:color w:val="000000"/>
                <w:sz w:val="21"/>
                <w:szCs w:val="21"/>
                <w:lang w:val="en-US" w:eastAsia="zh-CN"/>
              </w:rPr>
              <w:t>2</w:t>
            </w:r>
            <w:r>
              <w:rPr>
                <w:rFonts w:hint="default" w:ascii="宋体" w:eastAsia="宋体" w:cs="宋体"/>
                <w:bCs/>
                <w:color w:val="000000"/>
                <w:sz w:val="21"/>
                <w:szCs w:val="21"/>
                <w:lang w:val="zh-CN"/>
              </w:rPr>
              <w:t>分；</w:t>
            </w:r>
          </w:p>
          <w:p>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default" w:ascii="宋体" w:eastAsia="宋体" w:cs="宋体"/>
                <w:bCs/>
                <w:color w:val="000000"/>
                <w:sz w:val="21"/>
                <w:szCs w:val="21"/>
                <w:lang w:val="zh-CN"/>
              </w:rPr>
              <w:t>注：未提供方案不得分。</w:t>
            </w:r>
          </w:p>
        </w:tc>
        <w:tc>
          <w:tcPr>
            <w:tcW w:w="809" w:type="dxa"/>
            <w:noWrap w:val="0"/>
            <w:vAlign w:val="center"/>
          </w:tcPr>
          <w:p>
            <w:pPr>
              <w:tabs>
                <w:tab w:val="decimal" w:pos="315"/>
                <w:tab w:val="left" w:pos="630"/>
              </w:tabs>
              <w:spacing w:line="276" w:lineRule="auto"/>
              <w:jc w:val="center"/>
              <w:rPr>
                <w:rFonts w:ascii="宋体" w:hAnsi="宋体" w:cs="宋体"/>
                <w:color w:val="auto"/>
              </w:rPr>
            </w:pPr>
            <w:r>
              <w:rPr>
                <w:rFonts w:hint="eastAsia"/>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pPr>
              <w:tabs>
                <w:tab w:val="decimal" w:pos="315"/>
                <w:tab w:val="left" w:pos="630"/>
              </w:tabs>
              <w:spacing w:line="276" w:lineRule="auto"/>
              <w:jc w:val="center"/>
              <w:rPr>
                <w:rFonts w:hint="eastAsia"/>
                <w:lang w:val="en-US"/>
              </w:rPr>
            </w:pPr>
            <w:r>
              <w:rPr>
                <w:rFonts w:hint="eastAsia"/>
                <w:lang w:val="en-US"/>
              </w:rPr>
              <w:t>服务</w:t>
            </w:r>
          </w:p>
          <w:p>
            <w:pPr>
              <w:tabs>
                <w:tab w:val="decimal" w:pos="315"/>
                <w:tab w:val="left" w:pos="630"/>
              </w:tabs>
              <w:spacing w:line="276" w:lineRule="auto"/>
              <w:jc w:val="center"/>
              <w:rPr>
                <w:rFonts w:hint="eastAsia"/>
                <w:lang w:val="en-US"/>
              </w:rPr>
            </w:pPr>
            <w:r>
              <w:rPr>
                <w:rFonts w:hint="eastAsia"/>
                <w:lang w:val="en-US"/>
              </w:rPr>
              <w:t>机构</w:t>
            </w:r>
          </w:p>
          <w:p>
            <w:pPr>
              <w:tabs>
                <w:tab w:val="decimal" w:pos="315"/>
                <w:tab w:val="left" w:pos="630"/>
              </w:tabs>
              <w:spacing w:line="276" w:lineRule="auto"/>
              <w:jc w:val="center"/>
              <w:rPr>
                <w:rFonts w:hint="default" w:eastAsia="宋体"/>
                <w:color w:val="auto"/>
                <w:lang w:val="en-US" w:eastAsia="zh-CN"/>
              </w:rPr>
            </w:pPr>
            <w:r>
              <w:rPr>
                <w:rFonts w:hint="eastAsia"/>
                <w:lang w:val="en-US"/>
              </w:rPr>
              <w:t>设置</w:t>
            </w:r>
          </w:p>
        </w:tc>
        <w:tc>
          <w:tcPr>
            <w:tcW w:w="6443" w:type="dxa"/>
            <w:noWrap w:val="0"/>
            <w:vAlign w:val="center"/>
          </w:tcPr>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default" w:ascii="宋体" w:eastAsia="宋体" w:cs="宋体"/>
                <w:bCs/>
                <w:color w:val="000000"/>
                <w:sz w:val="21"/>
                <w:szCs w:val="21"/>
                <w:lang w:val="zh-CN"/>
              </w:rPr>
              <w:t>根据</w:t>
            </w:r>
            <w:r>
              <w:rPr>
                <w:rFonts w:hint="eastAsia" w:ascii="宋体" w:eastAsia="宋体" w:cs="宋体"/>
                <w:bCs/>
                <w:color w:val="000000"/>
                <w:sz w:val="21"/>
                <w:szCs w:val="21"/>
                <w:lang w:val="zh-CN"/>
              </w:rPr>
              <w:t>供应商</w:t>
            </w:r>
            <w:r>
              <w:rPr>
                <w:rFonts w:hint="default" w:ascii="宋体" w:eastAsia="宋体" w:cs="宋体"/>
                <w:bCs/>
                <w:color w:val="000000"/>
                <w:sz w:val="21"/>
                <w:szCs w:val="21"/>
                <w:lang w:val="zh-CN"/>
              </w:rPr>
              <w:t>提供的售后服务承诺、投入本项目的维护车辆安排、服务网点设置、技术支持等进行评审：</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eastAsia" w:ascii="宋体" w:eastAsia="宋体" w:cs="宋体"/>
                <w:bCs/>
                <w:color w:val="000000"/>
                <w:sz w:val="21"/>
                <w:szCs w:val="21"/>
                <w:lang w:val="en-US" w:eastAsia="zh-CN"/>
              </w:rPr>
              <w:t>1、</w:t>
            </w:r>
            <w:r>
              <w:rPr>
                <w:rFonts w:hint="default" w:ascii="宋体" w:eastAsia="宋体" w:cs="宋体"/>
                <w:bCs/>
                <w:color w:val="000000"/>
                <w:sz w:val="21"/>
                <w:szCs w:val="21"/>
                <w:lang w:val="zh-CN"/>
              </w:rPr>
              <w:t>售后服务承诺、车辆配置、网点设置合理、服务响应及技术支持详尽，均满足项目要求，得5分；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eastAsia" w:ascii="宋体" w:eastAsia="宋体" w:cs="宋体"/>
                <w:bCs/>
                <w:color w:val="000000"/>
                <w:sz w:val="21"/>
                <w:szCs w:val="21"/>
                <w:lang w:val="en-US" w:eastAsia="zh-CN"/>
              </w:rPr>
              <w:t>2、</w:t>
            </w:r>
            <w:r>
              <w:rPr>
                <w:rFonts w:hint="default" w:ascii="宋体" w:eastAsia="宋体" w:cs="宋体"/>
                <w:bCs/>
                <w:color w:val="000000"/>
                <w:sz w:val="21"/>
                <w:szCs w:val="21"/>
                <w:lang w:val="zh-CN"/>
              </w:rPr>
              <w:t>售后服务承诺、车辆配置、网点设置</w:t>
            </w:r>
            <w:r>
              <w:rPr>
                <w:rFonts w:hint="eastAsia" w:ascii="宋体" w:eastAsia="宋体" w:cs="宋体"/>
                <w:bCs/>
                <w:color w:val="000000"/>
                <w:sz w:val="21"/>
                <w:szCs w:val="21"/>
                <w:lang w:val="zh-CN"/>
              </w:rPr>
              <w:t>较</w:t>
            </w:r>
            <w:r>
              <w:rPr>
                <w:rFonts w:hint="default" w:ascii="宋体" w:eastAsia="宋体" w:cs="宋体"/>
                <w:bCs/>
                <w:color w:val="000000"/>
                <w:sz w:val="21"/>
                <w:szCs w:val="21"/>
                <w:lang w:val="zh-CN"/>
              </w:rPr>
              <w:t>合理、服务响应及技术支持较详尽，基本满足项目要求，得</w:t>
            </w:r>
            <w:r>
              <w:rPr>
                <w:rFonts w:hint="eastAsia" w:ascii="宋体" w:eastAsia="宋体" w:cs="宋体"/>
                <w:bCs/>
                <w:color w:val="000000"/>
                <w:sz w:val="21"/>
                <w:szCs w:val="21"/>
                <w:lang w:val="en-US" w:eastAsia="zh-CN"/>
              </w:rPr>
              <w:t>3</w:t>
            </w:r>
            <w:r>
              <w:rPr>
                <w:rFonts w:hint="default" w:ascii="宋体" w:eastAsia="宋体" w:cs="宋体"/>
                <w:bCs/>
                <w:color w:val="000000"/>
                <w:sz w:val="21"/>
                <w:szCs w:val="21"/>
                <w:lang w:val="zh-CN"/>
              </w:rPr>
              <w:t>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eastAsia" w:ascii="宋体" w:eastAsia="宋体" w:cs="宋体"/>
                <w:bCs/>
                <w:color w:val="000000"/>
                <w:sz w:val="21"/>
                <w:szCs w:val="21"/>
                <w:lang w:val="en-US" w:eastAsia="zh-CN"/>
              </w:rPr>
              <w:t>3、</w:t>
            </w:r>
            <w:r>
              <w:rPr>
                <w:rFonts w:hint="default" w:ascii="宋体" w:eastAsia="宋体" w:cs="宋体"/>
                <w:bCs/>
                <w:color w:val="000000"/>
                <w:sz w:val="21"/>
                <w:szCs w:val="21"/>
                <w:lang w:val="zh-CN"/>
              </w:rPr>
              <w:t>售后服务承诺、车辆配置、网点设置合理、服务响应及技术支持较差，</w:t>
            </w:r>
            <w:r>
              <w:rPr>
                <w:rFonts w:hint="eastAsia" w:ascii="宋体" w:eastAsia="宋体" w:cs="宋体"/>
                <w:bCs/>
                <w:color w:val="000000"/>
                <w:sz w:val="21"/>
                <w:szCs w:val="21"/>
                <w:lang w:val="zh-CN"/>
              </w:rPr>
              <w:t>未能</w:t>
            </w:r>
            <w:r>
              <w:rPr>
                <w:rFonts w:hint="default" w:ascii="宋体" w:eastAsia="宋体" w:cs="宋体"/>
                <w:bCs/>
                <w:color w:val="000000"/>
                <w:sz w:val="21"/>
                <w:szCs w:val="21"/>
                <w:lang w:val="zh-CN"/>
              </w:rPr>
              <w:t>满足项目要求，得1分；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default" w:ascii="宋体" w:eastAsia="宋体" w:cs="宋体"/>
                <w:bCs/>
                <w:color w:val="000000"/>
                <w:sz w:val="21"/>
                <w:szCs w:val="21"/>
                <w:lang w:val="zh-CN"/>
              </w:rPr>
              <w:t>注：未提供方案不得分。</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pPr>
              <w:tabs>
                <w:tab w:val="decimal" w:pos="315"/>
                <w:tab w:val="left" w:pos="630"/>
              </w:tabs>
              <w:spacing w:line="276" w:lineRule="auto"/>
              <w:jc w:val="center"/>
              <w:rPr>
                <w:rFonts w:hint="default" w:eastAsia="宋体"/>
                <w:color w:val="auto"/>
                <w:lang w:val="en-US" w:eastAsia="zh-CN"/>
              </w:rPr>
            </w:pPr>
            <w:r>
              <w:rPr>
                <w:rFonts w:hint="eastAsia"/>
              </w:rPr>
              <w:t>业绩</w:t>
            </w:r>
          </w:p>
        </w:tc>
        <w:tc>
          <w:tcPr>
            <w:tcW w:w="6443" w:type="dxa"/>
            <w:noWrap w:val="0"/>
            <w:vAlign w:val="center"/>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202</w:t>
            </w:r>
            <w:r>
              <w:rPr>
                <w:rFonts w:hint="eastAsia" w:ascii="宋体" w:eastAsia="宋体" w:cs="宋体"/>
                <w:bCs/>
                <w:color w:val="000000"/>
                <w:sz w:val="21"/>
                <w:szCs w:val="21"/>
                <w:lang w:val="en-US" w:eastAsia="zh-CN"/>
              </w:rPr>
              <w:t>1</w:t>
            </w:r>
            <w:r>
              <w:rPr>
                <w:rFonts w:hint="eastAsia" w:ascii="宋体" w:hAnsi="宋体" w:eastAsia="宋体" w:cs="宋体"/>
                <w:bCs/>
                <w:color w:val="000000"/>
                <w:sz w:val="21"/>
                <w:szCs w:val="21"/>
              </w:rPr>
              <w:t>年1月1日至今承接的同类项目业绩（设备或系统维护），每份业绩得1.5分，满分9分。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eastAsia" w:ascii="宋体" w:hAnsi="宋体" w:eastAsia="宋体" w:cs="宋体"/>
                <w:bCs/>
                <w:color w:val="000000"/>
                <w:sz w:val="21"/>
                <w:szCs w:val="21"/>
              </w:rPr>
              <w:t>注：响应文件中提供合同关键页复印件并加盖</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公章，未按要求提供不得分。</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pPr>
              <w:tabs>
                <w:tab w:val="decimal" w:pos="315"/>
                <w:tab w:val="left" w:pos="630"/>
              </w:tabs>
              <w:spacing w:line="276" w:lineRule="auto"/>
              <w:jc w:val="center"/>
              <w:rPr>
                <w:rFonts w:hint="eastAsia"/>
              </w:rPr>
            </w:pPr>
            <w:r>
              <w:rPr>
                <w:rFonts w:hint="eastAsia"/>
              </w:rPr>
              <w:t>认证证书</w:t>
            </w:r>
          </w:p>
        </w:tc>
        <w:tc>
          <w:tcPr>
            <w:tcW w:w="6443" w:type="dxa"/>
            <w:noWrap w:val="0"/>
            <w:vAlign w:val="center"/>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具备有效的质量管理体系认证证书得3分。（2）</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具备有效的数据存储安全管理体系认证证书得3分。（3）</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具备有效期内的隐私信息管理体系认证证书得3分。（4）</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具备有效期内的售后服务认证证书得3分。（5）</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具备有效期内的信息安全服务资质认证证书得3分。</w:t>
            </w:r>
          </w:p>
          <w:p>
            <w:pPr>
              <w:pStyle w:val="9"/>
              <w:keepNext w:val="0"/>
              <w:keepLines w:val="0"/>
              <w:widowControl/>
              <w:suppressLineNumbers w:val="0"/>
              <w:spacing w:before="0" w:beforeAutospacing="0" w:after="0" w:afterAutospacing="0" w:line="216" w:lineRule="auto"/>
              <w:ind w:left="0" w:right="0" w:firstLine="0" w:firstLineChars="0"/>
              <w:rPr>
                <w:rFonts w:hint="default" w:ascii="宋体" w:hAnsi="宋体" w:eastAsia="宋体" w:cs="宋体"/>
                <w:bCs/>
                <w:color w:val="000000"/>
                <w:sz w:val="21"/>
                <w:szCs w:val="21"/>
                <w:lang w:val="en-US" w:eastAsia="zh-CN"/>
              </w:rPr>
            </w:pPr>
            <w:r>
              <w:rPr>
                <w:rFonts w:hint="eastAsia" w:ascii="宋体" w:eastAsia="宋体" w:cs="宋体"/>
                <w:bCs/>
                <w:color w:val="000000"/>
                <w:sz w:val="21"/>
                <w:szCs w:val="21"/>
                <w:lang w:eastAsia="zh-CN"/>
              </w:rPr>
              <w:t>本项最高得</w:t>
            </w:r>
            <w:r>
              <w:rPr>
                <w:rFonts w:hint="eastAsia" w:ascii="宋体" w:eastAsia="宋体" w:cs="宋体"/>
                <w:bCs/>
                <w:color w:val="000000"/>
                <w:sz w:val="21"/>
                <w:szCs w:val="21"/>
                <w:lang w:val="en-US" w:eastAsia="zh-CN"/>
              </w:rPr>
              <w:t>15分。</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注：提供证书复印件并加盖</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公章，没有提供不得分，分公司</w:t>
            </w:r>
            <w:r>
              <w:rPr>
                <w:rFonts w:hint="eastAsia" w:ascii="宋体" w:eastAsia="宋体" w:cs="宋体"/>
                <w:bCs/>
                <w:color w:val="000000"/>
                <w:sz w:val="21"/>
                <w:szCs w:val="21"/>
                <w:lang w:eastAsia="zh-CN"/>
              </w:rPr>
              <w:t>响应</w:t>
            </w:r>
            <w:r>
              <w:rPr>
                <w:rFonts w:hint="eastAsia" w:ascii="宋体" w:hAnsi="宋体" w:eastAsia="宋体" w:cs="宋体"/>
                <w:bCs/>
                <w:color w:val="000000"/>
                <w:sz w:val="21"/>
                <w:szCs w:val="21"/>
              </w:rPr>
              <w:t>的经授权可以使用上级公司的证书。</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087" w:type="dxa"/>
            <w:noWrap w:val="0"/>
            <w:vAlign w:val="center"/>
          </w:tcPr>
          <w:p>
            <w:pPr>
              <w:tabs>
                <w:tab w:val="decimal" w:pos="315"/>
                <w:tab w:val="left" w:pos="630"/>
              </w:tabs>
              <w:spacing w:line="276" w:lineRule="auto"/>
              <w:jc w:val="center"/>
              <w:rPr>
                <w:rFonts w:hint="eastAsia"/>
              </w:rPr>
            </w:pPr>
            <w:r>
              <w:rPr>
                <w:rFonts w:hint="eastAsia"/>
              </w:rPr>
              <w:t>投入人员</w:t>
            </w:r>
          </w:p>
        </w:tc>
        <w:tc>
          <w:tcPr>
            <w:tcW w:w="6443" w:type="dxa"/>
            <w:noWrap w:val="0"/>
            <w:vAlign w:val="center"/>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1.项目负责人（限1人）：具备系统集成项目管理工程师证书、网络设计师证书、通信网络管理员（一级）证书、通信工程师证书、信息安全评估项目经理证书，每个证书得2分，本小项最高得10分。</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2.拟投入的技术负责人（限1人）：具备系统集成项目管理工程师证书、IT服务项目经理证书、信息安全保障人员认证证书、数据安全师证书，每个证书得2分，本小项最高得8分。</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3.项目团队其他人员（项目负责人和技术负责人除外）中具备以下证书：网络与信息安全管理师证书（高级）、注册信息安全专业人员（CISP）证书、网络工程师证书、硬件维护工程师（高级），每个得1分，本小项最高得3分。</w:t>
            </w:r>
          </w:p>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注：需提供</w:t>
            </w:r>
            <w:bookmarkStart w:id="1" w:name="_GoBack"/>
            <w:bookmarkEnd w:id="1"/>
            <w:r>
              <w:rPr>
                <w:rFonts w:hint="eastAsia" w:ascii="宋体" w:hAnsi="宋体" w:eastAsia="宋体" w:cs="宋体"/>
                <w:bCs/>
                <w:color w:val="000000"/>
                <w:sz w:val="21"/>
                <w:szCs w:val="21"/>
              </w:rPr>
              <w:t>相关人员相关资质证书复印件和</w:t>
            </w:r>
            <w:r>
              <w:rPr>
                <w:rFonts w:hint="eastAsia" w:ascii="宋体" w:eastAsia="宋体" w:cs="宋体"/>
                <w:bCs/>
                <w:color w:val="000000"/>
                <w:sz w:val="21"/>
                <w:szCs w:val="21"/>
                <w:lang w:eastAsia="zh-CN"/>
              </w:rPr>
              <w:t>供应商</w:t>
            </w:r>
            <w:r>
              <w:rPr>
                <w:rFonts w:hint="eastAsia" w:ascii="宋体" w:hAnsi="宋体" w:eastAsia="宋体" w:cs="宋体"/>
                <w:bCs/>
                <w:color w:val="000000"/>
                <w:sz w:val="21"/>
                <w:szCs w:val="21"/>
              </w:rPr>
              <w:t>为其缴纳的近3个月社保证明复印件并加盖公章。</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6" w:type="dxa"/>
            <w:noWrap w:val="0"/>
            <w:vAlign w:val="center"/>
          </w:tcPr>
          <w:p>
            <w:pPr>
              <w:widowControl/>
              <w:spacing w:line="360" w:lineRule="auto"/>
              <w:jc w:val="center"/>
              <w:rPr>
                <w:rFonts w:hint="default" w:ascii="宋体" w:hAnsi="宋体" w:cs="宋体"/>
                <w:color w:val="auto"/>
                <w:spacing w:val="15"/>
                <w:kern w:val="0"/>
                <w:szCs w:val="21"/>
                <w:shd w:val="clear" w:color="auto" w:fill="FFFFFF"/>
                <w:lang w:val="en-US" w:eastAsia="zh-CN"/>
              </w:rPr>
            </w:pPr>
            <w:r>
              <w:rPr>
                <w:rFonts w:hint="eastAsia" w:ascii="宋体" w:hAnsi="宋体" w:cs="宋体"/>
                <w:b/>
                <w:bCs/>
                <w:color w:val="auto"/>
                <w:spacing w:val="15"/>
                <w:kern w:val="0"/>
                <w:szCs w:val="21"/>
                <w:shd w:val="clear" w:color="auto" w:fill="FFFFFF"/>
                <w:lang w:val="en-US" w:eastAsia="zh-CN"/>
              </w:rPr>
              <w:t>价格部分</w:t>
            </w:r>
          </w:p>
        </w:tc>
        <w:tc>
          <w:tcPr>
            <w:tcW w:w="1087" w:type="dxa"/>
            <w:noWrap w:val="0"/>
            <w:vAlign w:val="center"/>
          </w:tcPr>
          <w:p>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noWrap w:val="0"/>
            <w:vAlign w:val="top"/>
          </w:tcPr>
          <w:p>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响应报价得分＝（评审基准价/响应报价）×价格分值</w:t>
            </w:r>
          </w:p>
          <w:p>
            <w:pPr>
              <w:pStyle w:val="9"/>
              <w:keepNext w:val="0"/>
              <w:keepLines w:val="0"/>
              <w:widowControl/>
              <w:suppressLineNumbers w:val="0"/>
              <w:spacing w:before="0" w:beforeAutospacing="0" w:after="0" w:afterAutospacing="0" w:line="216" w:lineRule="auto"/>
              <w:ind w:left="0" w:right="0" w:firstLine="0" w:firstLineChars="0"/>
              <w:rPr>
                <w:rFonts w:hint="eastAsia"/>
                <w:color w:val="auto"/>
                <w:lang w:val="en-US" w:eastAsia="zh-CN"/>
              </w:rPr>
            </w:pPr>
            <w:r>
              <w:rPr>
                <w:rFonts w:hint="eastAsia" w:ascii="宋体" w:hAnsi="宋体" w:eastAsia="宋体" w:cs="宋体"/>
                <w:bCs/>
                <w:color w:val="000000"/>
                <w:sz w:val="21"/>
                <w:szCs w:val="21"/>
                <w:lang w:val="zh-CN"/>
              </w:rPr>
              <w:t>（注：满足采购文件要求且响应价格最低的响应报价为评审基准价。最低报价不是成交的唯一依据。）</w:t>
            </w:r>
          </w:p>
        </w:tc>
        <w:tc>
          <w:tcPr>
            <w:tcW w:w="809" w:type="dxa"/>
            <w:noWrap w:val="0"/>
            <w:vAlign w:val="center"/>
          </w:tcPr>
          <w:p>
            <w:pPr>
              <w:spacing w:line="360" w:lineRule="auto"/>
              <w:jc w:val="center"/>
              <w:rPr>
                <w:rFonts w:hint="default" w:ascii="宋体" w:hAnsi="宋体" w:cs="宋体"/>
                <w:color w:val="auto"/>
                <w:szCs w:val="21"/>
                <w:highlight w:val="none"/>
                <w:lang w:val="en-US" w:eastAsia="zh-CN"/>
              </w:rPr>
            </w:pPr>
            <w:r>
              <w:rPr>
                <w:rFonts w:hint="eastAsia" w:ascii="Times New Roman" w:hAnsi="Times New Roman" w:eastAsia="宋体" w:cs="Times New Roman"/>
                <w:lang w:val="en-US" w:eastAsia="zh-CN"/>
              </w:rPr>
              <w:t>10</w:t>
            </w:r>
            <w:r>
              <w:rPr>
                <w:rFonts w:hint="eastAsia" w:ascii="宋体" w:hAnsi="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6" w:type="dxa"/>
            <w:gridSpan w:val="3"/>
            <w:noWrap w:val="0"/>
            <w:vAlign w:val="center"/>
          </w:tcPr>
          <w:p>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A35A8D"/>
    <w:rsid w:val="0AC27E84"/>
    <w:rsid w:val="0ADF6709"/>
    <w:rsid w:val="0B031FF8"/>
    <w:rsid w:val="0B2A7D51"/>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8664ECD"/>
    <w:rsid w:val="198164B4"/>
    <w:rsid w:val="1A710F7F"/>
    <w:rsid w:val="1CA90EA4"/>
    <w:rsid w:val="1CB17D58"/>
    <w:rsid w:val="1CEB5018"/>
    <w:rsid w:val="1D090252"/>
    <w:rsid w:val="1D4F1A4B"/>
    <w:rsid w:val="2000702C"/>
    <w:rsid w:val="20531559"/>
    <w:rsid w:val="20E47C7B"/>
    <w:rsid w:val="21251678"/>
    <w:rsid w:val="21507B40"/>
    <w:rsid w:val="21636166"/>
    <w:rsid w:val="2182320C"/>
    <w:rsid w:val="21B73ED8"/>
    <w:rsid w:val="22291947"/>
    <w:rsid w:val="22596E88"/>
    <w:rsid w:val="22F524FB"/>
    <w:rsid w:val="230B0532"/>
    <w:rsid w:val="2323226F"/>
    <w:rsid w:val="23234A89"/>
    <w:rsid w:val="23955CDE"/>
    <w:rsid w:val="23E83B9F"/>
    <w:rsid w:val="24406F1A"/>
    <w:rsid w:val="24791DF7"/>
    <w:rsid w:val="25A11649"/>
    <w:rsid w:val="25A8494F"/>
    <w:rsid w:val="25CD5C03"/>
    <w:rsid w:val="27B91B08"/>
    <w:rsid w:val="27EA6359"/>
    <w:rsid w:val="29CC4423"/>
    <w:rsid w:val="29D67FA4"/>
    <w:rsid w:val="2A2B739C"/>
    <w:rsid w:val="2A432D46"/>
    <w:rsid w:val="2A7169DD"/>
    <w:rsid w:val="2A9F7BB6"/>
    <w:rsid w:val="2ACD0453"/>
    <w:rsid w:val="2AEF13BE"/>
    <w:rsid w:val="2D0F545C"/>
    <w:rsid w:val="2D216834"/>
    <w:rsid w:val="2DB84096"/>
    <w:rsid w:val="2E3B05C3"/>
    <w:rsid w:val="2EAB0AAB"/>
    <w:rsid w:val="2F1E2C53"/>
    <w:rsid w:val="30004FCB"/>
    <w:rsid w:val="300915AF"/>
    <w:rsid w:val="304C1E1A"/>
    <w:rsid w:val="30D140CD"/>
    <w:rsid w:val="31BC4D7D"/>
    <w:rsid w:val="32B85545"/>
    <w:rsid w:val="32FC4A8D"/>
    <w:rsid w:val="32FC6616"/>
    <w:rsid w:val="330557AD"/>
    <w:rsid w:val="33A672FD"/>
    <w:rsid w:val="34403A44"/>
    <w:rsid w:val="346534DC"/>
    <w:rsid w:val="347E456C"/>
    <w:rsid w:val="352761F5"/>
    <w:rsid w:val="35983288"/>
    <w:rsid w:val="35EA1EB9"/>
    <w:rsid w:val="364D069A"/>
    <w:rsid w:val="36CD5A73"/>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6D1374"/>
    <w:rsid w:val="4024246B"/>
    <w:rsid w:val="40607ABC"/>
    <w:rsid w:val="40640ABA"/>
    <w:rsid w:val="413A60AB"/>
    <w:rsid w:val="43C8770C"/>
    <w:rsid w:val="45AC718B"/>
    <w:rsid w:val="45ED50AE"/>
    <w:rsid w:val="45F95539"/>
    <w:rsid w:val="469E110E"/>
    <w:rsid w:val="479C6D8B"/>
    <w:rsid w:val="48364026"/>
    <w:rsid w:val="488241D3"/>
    <w:rsid w:val="49D62A28"/>
    <w:rsid w:val="4A9C1907"/>
    <w:rsid w:val="4AF97CB6"/>
    <w:rsid w:val="4B6C4CC7"/>
    <w:rsid w:val="4BCB40E3"/>
    <w:rsid w:val="4BE5617B"/>
    <w:rsid w:val="4CA330E7"/>
    <w:rsid w:val="4CB07713"/>
    <w:rsid w:val="4CCD0706"/>
    <w:rsid w:val="4CF5766A"/>
    <w:rsid w:val="4CF87DD7"/>
    <w:rsid w:val="4DE84AD8"/>
    <w:rsid w:val="4E70527E"/>
    <w:rsid w:val="4E9B4F76"/>
    <w:rsid w:val="4EA10947"/>
    <w:rsid w:val="4F700B2E"/>
    <w:rsid w:val="51120D76"/>
    <w:rsid w:val="51D10F25"/>
    <w:rsid w:val="528E29ED"/>
    <w:rsid w:val="52901F11"/>
    <w:rsid w:val="529B480F"/>
    <w:rsid w:val="52F83F51"/>
    <w:rsid w:val="530C74BB"/>
    <w:rsid w:val="53121B8E"/>
    <w:rsid w:val="53C47D96"/>
    <w:rsid w:val="54B6171E"/>
    <w:rsid w:val="55706356"/>
    <w:rsid w:val="55B32781"/>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2031A89"/>
    <w:rsid w:val="62061579"/>
    <w:rsid w:val="621C6FEF"/>
    <w:rsid w:val="62E775FD"/>
    <w:rsid w:val="62EA49F7"/>
    <w:rsid w:val="633B400F"/>
    <w:rsid w:val="63634DBE"/>
    <w:rsid w:val="645962D8"/>
    <w:rsid w:val="64942E0C"/>
    <w:rsid w:val="65683BA3"/>
    <w:rsid w:val="65D900EA"/>
    <w:rsid w:val="66A90E26"/>
    <w:rsid w:val="68332C5A"/>
    <w:rsid w:val="690B6A33"/>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87D81"/>
    <w:rsid w:val="72CD743C"/>
    <w:rsid w:val="735A02FF"/>
    <w:rsid w:val="73644F94"/>
    <w:rsid w:val="739E1612"/>
    <w:rsid w:val="74A44B49"/>
    <w:rsid w:val="74F160B9"/>
    <w:rsid w:val="76790114"/>
    <w:rsid w:val="767A253F"/>
    <w:rsid w:val="76E23F0B"/>
    <w:rsid w:val="77D2097C"/>
    <w:rsid w:val="78281DF2"/>
    <w:rsid w:val="785C061A"/>
    <w:rsid w:val="78743289"/>
    <w:rsid w:val="7932248D"/>
    <w:rsid w:val="79366790"/>
    <w:rsid w:val="795D7670"/>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60" w:lineRule="exact"/>
    </w:pPr>
    <w:rPr>
      <w:rFonts w:ascii="宋体" w:hAnsi="宋体" w:eastAsia="宋体"/>
      <w:sz w:val="21"/>
    </w:rPr>
  </w:style>
  <w:style w:type="paragraph" w:styleId="3">
    <w:name w:val="Normal Indent"/>
    <w:basedOn w:val="1"/>
    <w:qFormat/>
    <w:uiPriority w:val="0"/>
    <w:pPr>
      <w:widowControl w:val="0"/>
      <w:ind w:firstLine="420"/>
      <w:jc w:val="both"/>
    </w:pPr>
    <w:rPr>
      <w:kern w:val="2"/>
    </w:rPr>
  </w:style>
  <w:style w:type="paragraph" w:styleId="4">
    <w:name w:val="toc 5"/>
    <w:basedOn w:val="1"/>
    <w:next w:val="1"/>
    <w:qFormat/>
    <w:uiPriority w:val="0"/>
    <w:pPr>
      <w:ind w:left="84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9">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876</Words>
  <Characters>896</Characters>
  <Lines>0</Lines>
  <Paragraphs>0</Paragraphs>
  <TotalTime>4</TotalTime>
  <ScaleCrop>false</ScaleCrop>
  <LinksUpToDate>false</LinksUpToDate>
  <CharactersWithSpaces>902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燕</cp:lastModifiedBy>
  <dcterms:modified xsi:type="dcterms:W3CDTF">2024-12-27T11:13:14Z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B5F4F6DF7D924E4C8CBDA1EEFEC1EEA0_13</vt:lpwstr>
  </property>
</Properties>
</file>