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1278B">
      <w:pPr>
        <w:spacing w:line="480" w:lineRule="auto"/>
        <w:jc w:val="center"/>
        <w:rPr>
          <w:rFonts w:hint="eastAsia"/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用户需求书</w:t>
      </w:r>
    </w:p>
    <w:p w14:paraId="4A9FCD59">
      <w:pPr>
        <w:jc w:val="center"/>
        <w:rPr>
          <w:rFonts w:hint="eastAsia"/>
          <w:b/>
          <w:sz w:val="24"/>
          <w:szCs w:val="44"/>
        </w:rPr>
      </w:pPr>
    </w:p>
    <w:p w14:paraId="2BB2D63F">
      <w:pPr>
        <w:spacing w:line="480" w:lineRule="auto"/>
        <w:jc w:val="left"/>
        <w:rPr>
          <w:rFonts w:hint="eastAsia"/>
          <w:sz w:val="28"/>
          <w:szCs w:val="28"/>
          <w:u w:val="dotted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sz w:val="28"/>
          <w:szCs w:val="28"/>
          <w:u w:val="none"/>
        </w:rPr>
        <w:t xml:space="preserve">2025年退休人员新春慰问品采购项目                 </w:t>
      </w:r>
      <w:r>
        <w:rPr>
          <w:rFonts w:hint="eastAsia"/>
          <w:sz w:val="40"/>
          <w:szCs w:val="44"/>
          <w:u w:val="none"/>
        </w:rPr>
        <w:t xml:space="preserve">    </w:t>
      </w:r>
      <w:r>
        <w:rPr>
          <w:rFonts w:hint="eastAsia"/>
          <w:sz w:val="40"/>
          <w:szCs w:val="44"/>
          <w:u w:val="dotted"/>
        </w:rPr>
        <w:t xml:space="preserve">                 </w:t>
      </w:r>
      <w:r>
        <w:rPr>
          <w:rFonts w:hint="eastAsia"/>
          <w:sz w:val="28"/>
          <w:szCs w:val="28"/>
          <w:u w:val="dotted"/>
        </w:rPr>
        <w:t xml:space="preserve">  </w:t>
      </w:r>
    </w:p>
    <w:p w14:paraId="635B71F5">
      <w:pPr>
        <w:spacing w:line="360" w:lineRule="auto"/>
        <w:rPr>
          <w:rFonts w:hint="eastAsia" w:ascii="宋体" w:hAnsi="宋体"/>
          <w:b/>
          <w:sz w:val="24"/>
        </w:rPr>
      </w:pPr>
      <w:bookmarkStart w:id="0" w:name="_Toc37670349"/>
      <w:bookmarkStart w:id="1" w:name="_Toc78604590"/>
      <w:bookmarkStart w:id="2" w:name="_Toc49329249"/>
      <w:bookmarkStart w:id="3" w:name="_Toc113157418"/>
      <w:r>
        <w:rPr>
          <w:rFonts w:hint="eastAsia" w:ascii="宋体" w:hAnsi="宋体"/>
          <w:b/>
          <w:sz w:val="24"/>
        </w:rPr>
        <w:t>一、</w:t>
      </w:r>
      <w:r>
        <w:rPr>
          <w:rFonts w:hint="eastAsia" w:ascii="宋体" w:hAnsi="宋体"/>
          <w:b/>
          <w:sz w:val="24"/>
        </w:rPr>
        <w:fldChar w:fldCharType="begin"/>
      </w:r>
      <w:r>
        <w:rPr>
          <w:rFonts w:hint="eastAsia" w:ascii="宋体" w:hAnsi="宋体"/>
          <w:b/>
          <w:sz w:val="24"/>
        </w:rPr>
        <w:instrText xml:space="preserve"> DOCVARIABLE  技术要求开始  \* MERGEFORMAT </w:instrText>
      </w:r>
      <w:r>
        <w:rPr>
          <w:rFonts w:hint="eastAsia" w:ascii="宋体" w:hAnsi="宋体"/>
          <w:b/>
          <w:sz w:val="24"/>
        </w:rPr>
        <w:fldChar w:fldCharType="end"/>
      </w:r>
      <w:bookmarkStart w:id="4" w:name="_Toc273255337"/>
      <w:bookmarkStart w:id="5" w:name="_Toc324867166"/>
      <w:bookmarkStart w:id="6" w:name="_Toc159385043"/>
      <w:bookmarkStart w:id="7" w:name="_Toc240108023"/>
      <w:bookmarkStart w:id="8" w:name="_Toc240108078"/>
      <w:r>
        <w:rPr>
          <w:rFonts w:hint="eastAsia" w:ascii="宋体" w:hAnsi="宋体"/>
          <w:b/>
          <w:sz w:val="24"/>
        </w:rPr>
        <w:t>采购项目技术要</w:t>
      </w:r>
      <w:bookmarkEnd w:id="0"/>
      <w:bookmarkEnd w:id="1"/>
      <w:bookmarkEnd w:id="2"/>
      <w:bookmarkStart w:id="9" w:name="_Toc37670350"/>
      <w:bookmarkStart w:id="10" w:name="_Toc49329250"/>
      <w:r>
        <w:rPr>
          <w:rFonts w:hint="eastAsia" w:ascii="宋体" w:hAnsi="宋体"/>
          <w:b/>
          <w:sz w:val="24"/>
        </w:rPr>
        <w:t>求</w:t>
      </w:r>
      <w:bookmarkEnd w:id="3"/>
      <w:bookmarkEnd w:id="4"/>
      <w:bookmarkEnd w:id="5"/>
      <w:bookmarkEnd w:id="6"/>
      <w:bookmarkEnd w:id="7"/>
      <w:bookmarkEnd w:id="8"/>
      <w:bookmarkStart w:id="11" w:name="文字29"/>
    </w:p>
    <w:p w14:paraId="3557DB42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1、项目概况：</w:t>
      </w:r>
    </w:p>
    <w:p w14:paraId="17B260DF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</w:rPr>
      </w:pPr>
      <w:r>
        <w:rPr>
          <w:rFonts w:hint="eastAsia"/>
        </w:rPr>
        <w:t>2025年新春将至，为体现医院对退休员工的关怀，采购慰问品向退休人员表达新春祝福。</w:t>
      </w:r>
    </w:p>
    <w:p w14:paraId="444A3D4B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2、采购清单：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949"/>
        <w:gridCol w:w="1240"/>
        <w:gridCol w:w="1063"/>
        <w:gridCol w:w="1678"/>
        <w:gridCol w:w="2977"/>
      </w:tblGrid>
      <w:tr w14:paraId="1EBF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Header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3F67">
            <w:pPr>
              <w:pStyle w:val="25"/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7781">
            <w:pPr>
              <w:pStyle w:val="2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46E8">
            <w:pPr>
              <w:pStyle w:val="25"/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0227">
            <w:pPr>
              <w:pStyle w:val="2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9633">
            <w:pPr>
              <w:pStyle w:val="25"/>
              <w:widowControl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最高限价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E61A">
            <w:pPr>
              <w:pStyle w:val="25"/>
              <w:widowControl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14:paraId="656B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43C1">
            <w:pPr>
              <w:pStyle w:val="25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E305">
            <w:pPr>
              <w:pStyle w:val="2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慰问品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FF90">
            <w:pPr>
              <w:pStyle w:val="25"/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份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6040">
            <w:pPr>
              <w:pStyle w:val="2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BA29">
            <w:pPr>
              <w:pStyle w:val="25"/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250元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98D5">
            <w:pPr>
              <w:pStyle w:val="25"/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每份包括：</w:t>
            </w:r>
            <w:bookmarkStart w:id="14" w:name="_GoBack"/>
            <w:bookmarkEnd w:id="14"/>
          </w:p>
          <w:p w14:paraId="11D9019D">
            <w:pPr>
              <w:pStyle w:val="25"/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香米1提，5KG；</w:t>
            </w:r>
          </w:p>
          <w:p w14:paraId="608885EF">
            <w:pPr>
              <w:pStyle w:val="25"/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2、花生油1桶，5L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压榨一级花生油；</w:t>
            </w:r>
          </w:p>
          <w:p w14:paraId="54595968">
            <w:pPr>
              <w:pStyle w:val="25"/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3、牛奶1箱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不少于250ML/瓶，不少于12瓶/箱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 w14:paraId="6EE5BBBA">
            <w:pPr>
              <w:pStyle w:val="25"/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4、核桃1包</w:t>
            </w:r>
            <w:r>
              <w:rPr>
                <w:rFonts w:hint="eastAsia"/>
                <w:lang w:eastAsia="zh-CN"/>
              </w:rPr>
              <w:t>，不少于250g/包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</w:tbl>
    <w:p w14:paraId="5A7586D8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二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供货要求</w:t>
      </w:r>
    </w:p>
    <w:p w14:paraId="47E66C03">
      <w:pPr>
        <w:pStyle w:val="8"/>
        <w:spacing w:line="360" w:lineRule="auto"/>
        <w:ind w:firstLine="420" w:firstLineChars="200"/>
        <w:rPr>
          <w:rFonts w:hint="eastAsia" w:ascii="宋体" w:hAnsi="宋体" w:cs="宋体"/>
          <w:b/>
          <w:bCs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highlight w:val="none"/>
          <w:lang w:val="en-US" w:eastAsia="zh-CN"/>
        </w:rPr>
        <w:t>1、供货需求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highlight w:val="none"/>
        </w:rPr>
        <w:t>：慰问品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highlight w:val="none"/>
          <w:lang w:eastAsia="zh-CN"/>
        </w:rPr>
        <w:t>按员工提供的地址以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highlight w:val="none"/>
        </w:rPr>
        <w:t>全国包邮到家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highlight w:val="none"/>
          <w:lang w:eastAsia="zh-CN"/>
        </w:rPr>
        <w:t>的形式发放，自签订合同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highlight w:val="none"/>
          <w:lang w:val="en-US" w:eastAsia="zh-CN"/>
        </w:rPr>
        <w:t>之日起10个日历天内完成供货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highlight w:val="none"/>
        </w:rPr>
        <w:t>。</w:t>
      </w:r>
    </w:p>
    <w:p w14:paraId="68BC1C95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textAlignment w:val="bottom"/>
        <w:rPr>
          <w:rFonts w:hint="eastAsia" w:ascii="宋体" w:hAnsi="宋体" w:cs="宋体"/>
          <w:b/>
          <w:bCs/>
          <w:highlight w:val="none"/>
        </w:rPr>
      </w:pPr>
      <w:r>
        <w:rPr>
          <w:rFonts w:hint="eastAsia"/>
        </w:rPr>
        <w:t>2、交货地点：供应商接到采购人通知后按采购人提供的人员名单、地址、联系电话安排快递，在要求的时间内将货物送货上门。</w:t>
      </w:r>
    </w:p>
    <w:p w14:paraId="4CCEB29D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</w:t>
      </w:r>
      <w:r>
        <w:rPr>
          <w:rFonts w:hint="eastAsia" w:ascii="宋体" w:hAnsi="宋体"/>
          <w:b/>
          <w:sz w:val="24"/>
        </w:rPr>
        <w:t>、报价说明：</w:t>
      </w:r>
    </w:p>
    <w:p w14:paraId="43D56A3A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 w:ascii="宋体" w:hAnsi="宋体"/>
        </w:rPr>
      </w:pPr>
      <w:r>
        <w:rPr>
          <w:rFonts w:hint="eastAsia"/>
        </w:rPr>
        <w:t>1、</w:t>
      </w:r>
      <w:r>
        <w:rPr>
          <w:rFonts w:hint="eastAsia" w:ascii="宋体" w:hAnsi="宋体"/>
          <w:lang w:eastAsia="zh-CN"/>
        </w:rPr>
        <w:t>供应商</w:t>
      </w:r>
      <w:r>
        <w:rPr>
          <w:rFonts w:hint="eastAsia" w:ascii="宋体" w:hAnsi="宋体"/>
        </w:rPr>
        <w:t>所报价格在合同执行期间是固定不变的，不得以任何理由予以变更。</w:t>
      </w:r>
      <w:r>
        <w:rPr>
          <w:rFonts w:hint="eastAsia" w:ascii="宋体" w:hAnsi="宋体"/>
          <w:lang w:eastAsia="zh-CN"/>
        </w:rPr>
        <w:t>供应商响应</w:t>
      </w:r>
      <w:r>
        <w:rPr>
          <w:rFonts w:hint="eastAsia" w:ascii="宋体" w:hAnsi="宋体"/>
        </w:rPr>
        <w:t>报价不是固定价的</w:t>
      </w:r>
      <w:r>
        <w:rPr>
          <w:rFonts w:hint="eastAsia" w:ascii="宋体" w:hAnsi="宋体"/>
          <w:lang w:eastAsia="zh-CN"/>
        </w:rPr>
        <w:t>响应</w:t>
      </w:r>
      <w:r>
        <w:rPr>
          <w:rFonts w:hint="eastAsia" w:ascii="宋体" w:hAnsi="宋体"/>
        </w:rPr>
        <w:t>文件将作为非实质性响应性</w:t>
      </w:r>
      <w:r>
        <w:rPr>
          <w:rFonts w:hint="eastAsia" w:ascii="宋体" w:hAnsi="宋体"/>
          <w:lang w:eastAsia="zh-CN"/>
        </w:rPr>
        <w:t>报价</w:t>
      </w:r>
      <w:r>
        <w:rPr>
          <w:rFonts w:hint="eastAsia" w:ascii="宋体" w:hAnsi="宋体"/>
        </w:rPr>
        <w:t>而予以拒绝。</w:t>
      </w:r>
    </w:p>
    <w:p w14:paraId="30727F4F"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</w:t>
      </w:r>
      <w:r>
        <w:rPr>
          <w:rFonts w:hint="eastAsia"/>
          <w:szCs w:val="21"/>
          <w:lang w:eastAsia="zh-CN"/>
        </w:rPr>
        <w:t>供应商</w:t>
      </w:r>
      <w:r>
        <w:rPr>
          <w:rFonts w:hint="eastAsia"/>
          <w:szCs w:val="21"/>
        </w:rPr>
        <w:t>所报的</w:t>
      </w:r>
      <w:r>
        <w:rPr>
          <w:rFonts w:hint="eastAsia"/>
          <w:szCs w:val="21"/>
          <w:lang w:eastAsia="zh-CN"/>
        </w:rPr>
        <w:t>响应</w:t>
      </w:r>
      <w:r>
        <w:rPr>
          <w:rFonts w:hint="eastAsia"/>
          <w:szCs w:val="21"/>
        </w:rPr>
        <w:t>报价为包含了货物、包装、运输、保险、税费、及其他所有相关费用，成交</w:t>
      </w:r>
      <w:r>
        <w:rPr>
          <w:rFonts w:hint="eastAsia"/>
          <w:szCs w:val="21"/>
          <w:lang w:eastAsia="zh-CN"/>
        </w:rPr>
        <w:t>供应商</w:t>
      </w:r>
      <w:r>
        <w:rPr>
          <w:rFonts w:hint="eastAsia"/>
          <w:szCs w:val="21"/>
        </w:rPr>
        <w:t>不能因为开发票等手续在向采购人申请款型。</w:t>
      </w:r>
    </w:p>
    <w:p w14:paraId="25425D6E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 w:ascii="宋体" w:hAnsi="宋体"/>
        </w:rPr>
      </w:pPr>
      <w:r>
        <w:rPr>
          <w:rFonts w:hint="eastAsia"/>
          <w:szCs w:val="21"/>
        </w:rPr>
        <w:t>3、</w:t>
      </w:r>
      <w:r>
        <w:rPr>
          <w:rFonts w:hint="eastAsia" w:ascii="宋体" w:hAnsi="宋体"/>
          <w:lang w:eastAsia="zh-CN"/>
        </w:rPr>
        <w:t>供应商</w:t>
      </w:r>
      <w:r>
        <w:rPr>
          <w:rFonts w:hint="eastAsia" w:ascii="宋体" w:hAnsi="宋体"/>
        </w:rPr>
        <w:t>必须对所有内容进行</w:t>
      </w:r>
      <w:r>
        <w:rPr>
          <w:rFonts w:hint="eastAsia" w:ascii="宋体" w:hAnsi="宋体"/>
          <w:lang w:eastAsia="zh-CN"/>
        </w:rPr>
        <w:t>响应</w:t>
      </w:r>
      <w:r>
        <w:rPr>
          <w:rFonts w:hint="eastAsia" w:ascii="宋体" w:hAnsi="宋体"/>
        </w:rPr>
        <w:t>，成交</w:t>
      </w:r>
      <w:r>
        <w:rPr>
          <w:rFonts w:hint="eastAsia" w:ascii="宋体" w:hAnsi="宋体"/>
          <w:lang w:eastAsia="zh-CN"/>
        </w:rPr>
        <w:t>供应商</w:t>
      </w:r>
      <w:r>
        <w:rPr>
          <w:rFonts w:hint="eastAsia" w:ascii="宋体" w:hAnsi="宋体"/>
        </w:rPr>
        <w:t>不得再以任何方式转包或分包本项目。</w:t>
      </w:r>
    </w:p>
    <w:p w14:paraId="09CF9EBF">
      <w:pPr>
        <w:widowControl/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 w:ascii="宋体" w:hAnsi="宋体"/>
        </w:rPr>
      </w:pPr>
      <w:r>
        <w:rPr>
          <w:rFonts w:hint="eastAsia" w:ascii="宋体" w:hAnsi="宋体"/>
        </w:rPr>
        <w:t>4、报价均应包含所有的税费及货物按要求快递送货上门的费用。</w:t>
      </w:r>
    </w:p>
    <w:p w14:paraId="7CDFD514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hint="eastAsia" w:ascii="宋体" w:hAnsi="宋体" w:cs="宋体"/>
          <w:b/>
          <w:bCs/>
          <w:sz w:val="24"/>
          <w:lang w:eastAsia="zh-CN"/>
        </w:rPr>
        <w:t>质量、验收</w:t>
      </w:r>
      <w:r>
        <w:rPr>
          <w:rFonts w:hint="eastAsia" w:ascii="宋体" w:hAnsi="宋体" w:cs="宋体"/>
          <w:b/>
          <w:bCs/>
          <w:sz w:val="24"/>
        </w:rPr>
        <w:t>及售后服务要求</w:t>
      </w:r>
    </w:p>
    <w:p w14:paraId="16564DB2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</w:rPr>
      </w:pPr>
      <w:r>
        <w:rPr>
          <w:rFonts w:hint="eastAsia"/>
        </w:rPr>
        <w:t>1、供应商所投产品不能是长期积压产品，并符合国家规定的产品三包期限要求。</w:t>
      </w:r>
    </w:p>
    <w:p w14:paraId="5B7BAED8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</w:rPr>
      </w:pPr>
      <w:r>
        <w:rPr>
          <w:rFonts w:hint="eastAsia"/>
        </w:rPr>
        <w:t>2、所供应货物的剩余保质期不少于货物所示保质期的三分之二时间，如货物存在质量问题要无偿更换；货物有约定质保服务的，按约定执行。</w:t>
      </w:r>
    </w:p>
    <w:p w14:paraId="43E22995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</w:rPr>
      </w:pPr>
      <w:r>
        <w:rPr>
          <w:rFonts w:hint="eastAsia"/>
        </w:rPr>
        <w:t>3、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供应货物的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质保期不少于1年。</w:t>
      </w:r>
      <w:r>
        <w:rPr>
          <w:rFonts w:hint="eastAsia"/>
        </w:rPr>
        <w:t>质保期内产品出现非人为损害问题，产品包退包换。</w:t>
      </w:r>
    </w:p>
    <w:p w14:paraId="3EFC8E07">
      <w:pPr>
        <w:tabs>
          <w:tab w:val="left" w:pos="720"/>
        </w:tabs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4、验收由采购人、成交供应商及相关人员依国家有关标准、合同及有关附件要求进行。</w:t>
      </w:r>
    </w:p>
    <w:p w14:paraId="73F56186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</w:rPr>
      </w:pPr>
    </w:p>
    <w:p w14:paraId="4A54997A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hint="eastAsia" w:ascii="宋体" w:hAnsi="宋体" w:cs="宋体"/>
          <w:b/>
          <w:bCs/>
          <w:sz w:val="24"/>
        </w:rPr>
      </w:pPr>
      <w:bookmarkStart w:id="12" w:name="_Toc224529781"/>
      <w:bookmarkStart w:id="13" w:name="_Toc224529817"/>
      <w:r>
        <w:rPr>
          <w:rFonts w:hint="eastAsia" w:ascii="宋体" w:hAnsi="宋体"/>
          <w:b/>
          <w:sz w:val="24"/>
        </w:rPr>
        <w:t>五、</w:t>
      </w:r>
      <w:r>
        <w:rPr>
          <w:rFonts w:hint="eastAsia" w:ascii="宋体" w:hAnsi="宋体" w:cs="宋体"/>
          <w:b/>
          <w:bCs/>
          <w:sz w:val="24"/>
        </w:rPr>
        <w:t>付款办法</w:t>
      </w:r>
      <w:bookmarkEnd w:id="12"/>
      <w:bookmarkEnd w:id="13"/>
    </w:p>
    <w:p w14:paraId="34119CF9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  <w:lang w:val="en-GB"/>
        </w:rPr>
      </w:pPr>
      <w:r>
        <w:rPr>
          <w:rFonts w:hint="eastAsia"/>
          <w:lang w:val="en-GB"/>
        </w:rPr>
        <w:t>合同签订后,全部货物供货完毕并经最终验收合格后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GB"/>
        </w:rPr>
        <w:t>0天内一次性支付合同总价。）因采购人使用的是财政资金，按政府审批流程支付，若审批延迟则相应货款到账延迟，且不视为采购人违约。</w:t>
      </w:r>
    </w:p>
    <w:bookmarkEnd w:id="9"/>
    <w:bookmarkEnd w:id="10"/>
    <w:bookmarkEnd w:id="11"/>
    <w:p w14:paraId="61CFBAE5">
      <w:pPr>
        <w:widowControl/>
        <w:tabs>
          <w:tab w:val="left" w:pos="636"/>
        </w:tabs>
        <w:autoSpaceDE w:val="0"/>
        <w:autoSpaceDN w:val="0"/>
        <w:spacing w:line="460" w:lineRule="exact"/>
        <w:ind w:firstLine="562" w:firstLineChars="200"/>
        <w:jc w:val="left"/>
        <w:textAlignment w:val="bottom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7867EBAC">
      <w:pPr>
        <w:widowControl/>
        <w:tabs>
          <w:tab w:val="left" w:pos="636"/>
        </w:tabs>
        <w:autoSpaceDE w:val="0"/>
        <w:autoSpaceDN w:val="0"/>
        <w:spacing w:line="460" w:lineRule="exact"/>
        <w:ind w:firstLine="562" w:firstLineChars="200"/>
        <w:jc w:val="left"/>
        <w:textAlignment w:val="bottom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附件：</w:t>
      </w:r>
      <w:r>
        <w:rPr>
          <w:rFonts w:hint="eastAsia" w:ascii="宋体" w:hAnsi="宋体"/>
          <w:b/>
          <w:bCs/>
          <w:sz w:val="28"/>
          <w:szCs w:val="28"/>
        </w:rPr>
        <w:t>报价清单</w:t>
      </w:r>
    </w:p>
    <w:p w14:paraId="6732511A">
      <w:pPr>
        <w:widowControl/>
        <w:tabs>
          <w:tab w:val="left" w:pos="636"/>
        </w:tabs>
        <w:autoSpaceDE w:val="0"/>
        <w:autoSpaceDN w:val="0"/>
        <w:spacing w:line="460" w:lineRule="exact"/>
        <w:ind w:firstLine="562" w:firstLineChars="200"/>
        <w:jc w:val="left"/>
        <w:textAlignment w:val="bottom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13"/>
        <w:tblW w:w="8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20"/>
        <w:gridCol w:w="1230"/>
        <w:gridCol w:w="2017"/>
        <w:gridCol w:w="1117"/>
        <w:gridCol w:w="866"/>
        <w:gridCol w:w="1084"/>
      </w:tblGrid>
      <w:tr w14:paraId="4B3D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" w:type="dxa"/>
            <w:vMerge w:val="restart"/>
            <w:noWrap w:val="0"/>
            <w:vAlign w:val="center"/>
          </w:tcPr>
          <w:p w14:paraId="0EE7893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4767" w:type="dxa"/>
            <w:gridSpan w:val="3"/>
            <w:noWrap w:val="0"/>
            <w:vAlign w:val="center"/>
          </w:tcPr>
          <w:p w14:paraId="0A6BB2C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货物信息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 w14:paraId="0077B0D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货物单价（元）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4E8929BA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 w14:paraId="145F726B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总价（元/份）</w:t>
            </w:r>
          </w:p>
        </w:tc>
      </w:tr>
      <w:tr w14:paraId="6087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 w14:paraId="2CE0F7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4AAE9C3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货物名称</w:t>
            </w:r>
          </w:p>
        </w:tc>
        <w:tc>
          <w:tcPr>
            <w:tcW w:w="1230" w:type="dxa"/>
            <w:noWrap w:val="0"/>
            <w:vAlign w:val="center"/>
          </w:tcPr>
          <w:p w14:paraId="1FCCD7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生产商</w:t>
            </w:r>
          </w:p>
        </w:tc>
        <w:tc>
          <w:tcPr>
            <w:tcW w:w="2017" w:type="dxa"/>
            <w:noWrap w:val="0"/>
            <w:vAlign w:val="center"/>
          </w:tcPr>
          <w:p w14:paraId="2B6D894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规格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 w14:paraId="2F1E6C9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4589C0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 w14:paraId="2A2597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CE1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9" w:type="dxa"/>
            <w:noWrap w:val="0"/>
            <w:vAlign w:val="center"/>
          </w:tcPr>
          <w:p w14:paraId="31E6C2D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noWrap w:val="0"/>
            <w:vAlign w:val="center"/>
          </w:tcPr>
          <w:p w14:paraId="140A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香米</w:t>
            </w:r>
          </w:p>
        </w:tc>
        <w:tc>
          <w:tcPr>
            <w:tcW w:w="1230" w:type="dxa"/>
            <w:noWrap w:val="0"/>
            <w:vAlign w:val="center"/>
          </w:tcPr>
          <w:p w14:paraId="427E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97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49899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E94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1提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 w14:paraId="7ED29B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4D1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9" w:type="dxa"/>
            <w:noWrap w:val="0"/>
            <w:vAlign w:val="center"/>
          </w:tcPr>
          <w:p w14:paraId="30F7CD5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0" w:type="dxa"/>
            <w:noWrap w:val="0"/>
            <w:vAlign w:val="center"/>
          </w:tcPr>
          <w:p w14:paraId="12A3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230" w:type="dxa"/>
            <w:noWrap w:val="0"/>
            <w:vAlign w:val="center"/>
          </w:tcPr>
          <w:p w14:paraId="55C0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A93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6403D1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3EF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1桶</w:t>
            </w:r>
          </w:p>
        </w:tc>
        <w:tc>
          <w:tcPr>
            <w:tcW w:w="1084" w:type="dxa"/>
            <w:vMerge w:val="continue"/>
            <w:noWrap w:val="0"/>
            <w:vAlign w:val="center"/>
          </w:tcPr>
          <w:p w14:paraId="3603570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D86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9" w:type="dxa"/>
            <w:noWrap w:val="0"/>
            <w:vAlign w:val="center"/>
          </w:tcPr>
          <w:p w14:paraId="30C1DF7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520" w:type="dxa"/>
            <w:noWrap w:val="0"/>
            <w:vAlign w:val="center"/>
          </w:tcPr>
          <w:p w14:paraId="5E80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</w:t>
            </w:r>
          </w:p>
        </w:tc>
        <w:tc>
          <w:tcPr>
            <w:tcW w:w="1230" w:type="dxa"/>
            <w:noWrap w:val="0"/>
            <w:vAlign w:val="center"/>
          </w:tcPr>
          <w:p w14:paraId="7EBE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9BF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D070BD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E8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1箱</w:t>
            </w:r>
          </w:p>
        </w:tc>
        <w:tc>
          <w:tcPr>
            <w:tcW w:w="1084" w:type="dxa"/>
            <w:vMerge w:val="continue"/>
            <w:noWrap w:val="0"/>
            <w:vAlign w:val="center"/>
          </w:tcPr>
          <w:p w14:paraId="78883AC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D28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9" w:type="dxa"/>
            <w:noWrap w:val="0"/>
            <w:vAlign w:val="center"/>
          </w:tcPr>
          <w:p w14:paraId="48149A24"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520" w:type="dxa"/>
            <w:noWrap w:val="0"/>
            <w:vAlign w:val="center"/>
          </w:tcPr>
          <w:p w14:paraId="1F7A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</w:t>
            </w:r>
          </w:p>
        </w:tc>
        <w:tc>
          <w:tcPr>
            <w:tcW w:w="1230" w:type="dxa"/>
            <w:noWrap w:val="0"/>
            <w:vAlign w:val="center"/>
          </w:tcPr>
          <w:p w14:paraId="69FB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73B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C5E3BC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BD7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1包</w:t>
            </w:r>
          </w:p>
        </w:tc>
        <w:tc>
          <w:tcPr>
            <w:tcW w:w="1084" w:type="dxa"/>
            <w:vMerge w:val="continue"/>
            <w:noWrap w:val="0"/>
            <w:vAlign w:val="center"/>
          </w:tcPr>
          <w:p w14:paraId="515B897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35B2DD1F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  <w:lang w:val="en-GB"/>
        </w:rPr>
      </w:pP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0BAB5">
    <w:pPr>
      <w:pStyle w:val="11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76FA2F01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A0D19">
    <w:pPr>
      <w:pStyle w:val="11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2F7C1DFE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93F33"/>
    <w:multiLevelType w:val="singleLevel"/>
    <w:tmpl w:val="5B893F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0B0C09"/>
    <w:multiLevelType w:val="multilevel"/>
    <w:tmpl w:val="620B0C09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425" w:hanging="425"/>
      </w:pPr>
      <w:rPr>
        <w:rFonts w:hint="eastAsia" w:ascii="黑体" w:eastAsia="黑体"/>
        <w:sz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sz w:val="21"/>
        <w:szCs w:val="21"/>
      </w:rPr>
    </w:lvl>
    <w:lvl w:ilvl="3" w:tentative="0">
      <w:start w:val="1"/>
      <w:numFmt w:val="decimal"/>
      <w:pStyle w:val="5"/>
      <w:isLgl/>
      <w:suff w:val="space"/>
      <w:lvlText w:val="%4."/>
      <w:lvlJc w:val="left"/>
      <w:pPr>
        <w:ind w:left="0" w:firstLine="680"/>
      </w:pPr>
      <w:rPr>
        <w:rFonts w:hint="eastAsia" w:ascii="宋体" w:eastAsia="宋体"/>
        <w:sz w:val="28"/>
      </w:rPr>
    </w:lvl>
    <w:lvl w:ilvl="4" w:tentative="0">
      <w:start w:val="1"/>
      <w:numFmt w:val="decimal"/>
      <w:pStyle w:val="6"/>
      <w:isLgl/>
      <w:suff w:val="space"/>
      <w:lvlText w:val="&lt;%5&gt;"/>
      <w:lvlJc w:val="left"/>
      <w:pPr>
        <w:ind w:left="0" w:firstLine="567"/>
      </w:pPr>
      <w:rPr>
        <w:rFonts w:hint="eastAsia" w:ascii="宋体" w:eastAsia="宋体"/>
        <w:sz w:val="28"/>
      </w:rPr>
    </w:lvl>
    <w:lvl w:ilvl="5" w:tentative="0">
      <w:start w:val="1"/>
      <w:numFmt w:val="upperLetter"/>
      <w:pStyle w:val="7"/>
      <w:suff w:val="space"/>
      <w:lvlText w:val="%6."/>
      <w:lvlJc w:val="left"/>
      <w:pPr>
        <w:ind w:left="0" w:firstLine="680"/>
      </w:pPr>
      <w:rPr>
        <w:rFonts w:hint="eastAsia" w:ascii="宋体" w:eastAsia="宋体"/>
        <w:sz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MmEzN2I2NGYxZTIyMTQxMGQxM2IzYzc2N2Q1MzcifQ=="/>
  </w:docVars>
  <w:rsids>
    <w:rsidRoot w:val="009F5AFF"/>
    <w:rsid w:val="00004CCA"/>
    <w:rsid w:val="000367C1"/>
    <w:rsid w:val="00041595"/>
    <w:rsid w:val="00050AB9"/>
    <w:rsid w:val="00054DA2"/>
    <w:rsid w:val="000568E5"/>
    <w:rsid w:val="000702E4"/>
    <w:rsid w:val="00086DE4"/>
    <w:rsid w:val="000A5F0D"/>
    <w:rsid w:val="000E2EBC"/>
    <w:rsid w:val="000F7684"/>
    <w:rsid w:val="00131B42"/>
    <w:rsid w:val="00140C6E"/>
    <w:rsid w:val="00150876"/>
    <w:rsid w:val="0015219A"/>
    <w:rsid w:val="001529DA"/>
    <w:rsid w:val="0017098B"/>
    <w:rsid w:val="00172760"/>
    <w:rsid w:val="001A78AD"/>
    <w:rsid w:val="001B007F"/>
    <w:rsid w:val="001E7FA6"/>
    <w:rsid w:val="001F0EA9"/>
    <w:rsid w:val="001F3254"/>
    <w:rsid w:val="002316C5"/>
    <w:rsid w:val="0024654A"/>
    <w:rsid w:val="00264457"/>
    <w:rsid w:val="002C3098"/>
    <w:rsid w:val="002F15C0"/>
    <w:rsid w:val="002F2E43"/>
    <w:rsid w:val="002F704E"/>
    <w:rsid w:val="00306546"/>
    <w:rsid w:val="00312E95"/>
    <w:rsid w:val="00314E74"/>
    <w:rsid w:val="00321083"/>
    <w:rsid w:val="00324410"/>
    <w:rsid w:val="00325378"/>
    <w:rsid w:val="0036745B"/>
    <w:rsid w:val="0038675A"/>
    <w:rsid w:val="00391491"/>
    <w:rsid w:val="003A4577"/>
    <w:rsid w:val="003B6578"/>
    <w:rsid w:val="003B6C79"/>
    <w:rsid w:val="003C2F57"/>
    <w:rsid w:val="003E1203"/>
    <w:rsid w:val="003F017B"/>
    <w:rsid w:val="004037BF"/>
    <w:rsid w:val="004173B1"/>
    <w:rsid w:val="00442A3E"/>
    <w:rsid w:val="004565B9"/>
    <w:rsid w:val="0047301C"/>
    <w:rsid w:val="00495D64"/>
    <w:rsid w:val="004A20C0"/>
    <w:rsid w:val="004A27FD"/>
    <w:rsid w:val="004B4AD5"/>
    <w:rsid w:val="004D362E"/>
    <w:rsid w:val="004E20A5"/>
    <w:rsid w:val="004F0797"/>
    <w:rsid w:val="004F704A"/>
    <w:rsid w:val="00537E0A"/>
    <w:rsid w:val="005423F1"/>
    <w:rsid w:val="00542633"/>
    <w:rsid w:val="00560489"/>
    <w:rsid w:val="005825E8"/>
    <w:rsid w:val="005A2E5E"/>
    <w:rsid w:val="005A53DB"/>
    <w:rsid w:val="005B1096"/>
    <w:rsid w:val="00602637"/>
    <w:rsid w:val="00604C33"/>
    <w:rsid w:val="006137F9"/>
    <w:rsid w:val="00621FF8"/>
    <w:rsid w:val="00625A10"/>
    <w:rsid w:val="0063558C"/>
    <w:rsid w:val="0064088C"/>
    <w:rsid w:val="00655A5F"/>
    <w:rsid w:val="006610B7"/>
    <w:rsid w:val="00670421"/>
    <w:rsid w:val="00671EF1"/>
    <w:rsid w:val="006A359B"/>
    <w:rsid w:val="006D5F68"/>
    <w:rsid w:val="00710738"/>
    <w:rsid w:val="00720FB8"/>
    <w:rsid w:val="0072257B"/>
    <w:rsid w:val="00726534"/>
    <w:rsid w:val="00755086"/>
    <w:rsid w:val="00755279"/>
    <w:rsid w:val="00776593"/>
    <w:rsid w:val="00780670"/>
    <w:rsid w:val="007A06BA"/>
    <w:rsid w:val="007A1BFA"/>
    <w:rsid w:val="007B2423"/>
    <w:rsid w:val="007B6AFC"/>
    <w:rsid w:val="007D7BCA"/>
    <w:rsid w:val="007F7251"/>
    <w:rsid w:val="00867E6B"/>
    <w:rsid w:val="00876908"/>
    <w:rsid w:val="00886CE4"/>
    <w:rsid w:val="008873DD"/>
    <w:rsid w:val="00890BCC"/>
    <w:rsid w:val="00894F73"/>
    <w:rsid w:val="008E5A37"/>
    <w:rsid w:val="008F3EF1"/>
    <w:rsid w:val="009378B4"/>
    <w:rsid w:val="009440C8"/>
    <w:rsid w:val="009500BE"/>
    <w:rsid w:val="009937A8"/>
    <w:rsid w:val="00994DAC"/>
    <w:rsid w:val="00996AE6"/>
    <w:rsid w:val="009B6829"/>
    <w:rsid w:val="009D4A66"/>
    <w:rsid w:val="009E0AC8"/>
    <w:rsid w:val="009E7B06"/>
    <w:rsid w:val="009F0EB0"/>
    <w:rsid w:val="009F5AFF"/>
    <w:rsid w:val="00A02C04"/>
    <w:rsid w:val="00A16520"/>
    <w:rsid w:val="00A17DA8"/>
    <w:rsid w:val="00A20A7F"/>
    <w:rsid w:val="00A314E5"/>
    <w:rsid w:val="00A33D54"/>
    <w:rsid w:val="00A562A4"/>
    <w:rsid w:val="00A9033D"/>
    <w:rsid w:val="00A94C48"/>
    <w:rsid w:val="00AC4DE8"/>
    <w:rsid w:val="00AF3C57"/>
    <w:rsid w:val="00AF498F"/>
    <w:rsid w:val="00B210CF"/>
    <w:rsid w:val="00B2612F"/>
    <w:rsid w:val="00B312A5"/>
    <w:rsid w:val="00B42F75"/>
    <w:rsid w:val="00B62042"/>
    <w:rsid w:val="00B83138"/>
    <w:rsid w:val="00B92B6E"/>
    <w:rsid w:val="00BB2F70"/>
    <w:rsid w:val="00BB4314"/>
    <w:rsid w:val="00BE2EA8"/>
    <w:rsid w:val="00BE5388"/>
    <w:rsid w:val="00C7443D"/>
    <w:rsid w:val="00C93E15"/>
    <w:rsid w:val="00CC11B0"/>
    <w:rsid w:val="00CC6D29"/>
    <w:rsid w:val="00CD4E02"/>
    <w:rsid w:val="00CF2C48"/>
    <w:rsid w:val="00D0743B"/>
    <w:rsid w:val="00D44C6A"/>
    <w:rsid w:val="00D53C0F"/>
    <w:rsid w:val="00D747AD"/>
    <w:rsid w:val="00DB65F9"/>
    <w:rsid w:val="00DC224A"/>
    <w:rsid w:val="00DE5CD0"/>
    <w:rsid w:val="00E05157"/>
    <w:rsid w:val="00E10048"/>
    <w:rsid w:val="00E13397"/>
    <w:rsid w:val="00E32EA5"/>
    <w:rsid w:val="00E33138"/>
    <w:rsid w:val="00E40AED"/>
    <w:rsid w:val="00E422D0"/>
    <w:rsid w:val="00E64444"/>
    <w:rsid w:val="00E665A6"/>
    <w:rsid w:val="00E70910"/>
    <w:rsid w:val="00EF6645"/>
    <w:rsid w:val="00EF7E47"/>
    <w:rsid w:val="00F1148B"/>
    <w:rsid w:val="00F14FE7"/>
    <w:rsid w:val="00F158A4"/>
    <w:rsid w:val="00F40736"/>
    <w:rsid w:val="00F47BE4"/>
    <w:rsid w:val="00F504E4"/>
    <w:rsid w:val="00F55CCC"/>
    <w:rsid w:val="00FA73C2"/>
    <w:rsid w:val="00FC5D3F"/>
    <w:rsid w:val="013237DC"/>
    <w:rsid w:val="03D947CA"/>
    <w:rsid w:val="078D5AC2"/>
    <w:rsid w:val="187E76ED"/>
    <w:rsid w:val="1A100F76"/>
    <w:rsid w:val="1A6C0F19"/>
    <w:rsid w:val="1B526001"/>
    <w:rsid w:val="1DBB1D54"/>
    <w:rsid w:val="268122BF"/>
    <w:rsid w:val="26A3375D"/>
    <w:rsid w:val="30BD1F03"/>
    <w:rsid w:val="312A2B56"/>
    <w:rsid w:val="49700CBC"/>
    <w:rsid w:val="4D3D27EE"/>
    <w:rsid w:val="61870AA1"/>
    <w:rsid w:val="6A067AF0"/>
    <w:rsid w:val="6C1A5FD4"/>
    <w:rsid w:val="6D317BA6"/>
    <w:rsid w:val="6D6B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adjustRightInd w:val="0"/>
      <w:jc w:val="center"/>
      <w:outlineLvl w:val="0"/>
    </w:pPr>
    <w:rPr>
      <w:b/>
      <w:color w:val="0000FF"/>
      <w:kern w:val="0"/>
      <w:sz w:val="52"/>
      <w:szCs w:val="20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qFormat/>
    <w:uiPriority w:val="0"/>
    <w:pPr>
      <w:numPr>
        <w:ilvl w:val="3"/>
        <w:numId w:val="1"/>
      </w:numPr>
      <w:outlineLvl w:val="3"/>
    </w:pPr>
    <w:rPr>
      <w:rFonts w:ascii="宋体"/>
      <w:color w:val="0000FF"/>
      <w:sz w:val="28"/>
      <w:szCs w:val="20"/>
    </w:rPr>
  </w:style>
  <w:style w:type="paragraph" w:styleId="6">
    <w:name w:val="heading 5"/>
    <w:basedOn w:val="1"/>
    <w:qFormat/>
    <w:uiPriority w:val="0"/>
    <w:pPr>
      <w:numPr>
        <w:ilvl w:val="4"/>
        <w:numId w:val="1"/>
      </w:numPr>
      <w:spacing w:before="120"/>
      <w:ind w:firstLine="540"/>
      <w:outlineLvl w:val="4"/>
    </w:pPr>
    <w:rPr>
      <w:rFonts w:ascii="宋体"/>
      <w:b/>
      <w:color w:val="0000FF"/>
      <w:sz w:val="28"/>
      <w:szCs w:val="20"/>
    </w:rPr>
  </w:style>
  <w:style w:type="paragraph" w:styleId="7">
    <w:name w:val="heading 6"/>
    <w:basedOn w:val="1"/>
    <w:qFormat/>
    <w:uiPriority w:val="0"/>
    <w:pPr>
      <w:numPr>
        <w:ilvl w:val="5"/>
        <w:numId w:val="1"/>
      </w:numPr>
      <w:outlineLvl w:val="5"/>
    </w:pPr>
    <w:rPr>
      <w:color w:val="0000FF"/>
      <w:sz w:val="28"/>
      <w:szCs w:val="20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iPriority w:val="0"/>
    <w:pPr>
      <w:jc w:val="left"/>
    </w:pPr>
    <w:rPr>
      <w:color w:val="0000FF"/>
      <w:sz w:val="24"/>
    </w:rPr>
  </w:style>
  <w:style w:type="paragraph" w:styleId="9">
    <w:name w:val="Body Text"/>
    <w:basedOn w:val="1"/>
    <w:uiPriority w:val="0"/>
    <w:rPr>
      <w:rFonts w:ascii="宋体" w:hAnsi="宋体"/>
      <w:color w:val="0000FF"/>
      <w:sz w:val="28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页眉 Char"/>
    <w:link w:val="12"/>
    <w:uiPriority w:val="0"/>
    <w:rPr>
      <w:kern w:val="2"/>
      <w:sz w:val="18"/>
      <w:szCs w:val="18"/>
    </w:rPr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正文_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z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6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7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正文1_0"/>
    <w:unhideWhenUsed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802</Characters>
  <Lines>6</Lines>
  <Paragraphs>1</Paragraphs>
  <TotalTime>4</TotalTime>
  <ScaleCrop>false</ScaleCrop>
  <LinksUpToDate>false</LinksUpToDate>
  <CharactersWithSpaces>941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2022-01-24T01:21:00Z</dcterms:created>
  <dc:creator>何卓瑜</dc:creator>
  <cp:lastModifiedBy>梁美婷</cp:lastModifiedBy>
  <cp:lastPrinted>2014-12-12T03:16:00Z</cp:lastPrinted>
  <dcterms:modified xsi:type="dcterms:W3CDTF">2024-12-30T06:49:54Z</dcterms:modified>
  <dc:title>用户需求书（参考格式）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448D9C7A21C44AA4980ED43C4D790E6F_13</vt:lpwstr>
  </property>
</Properties>
</file>