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5FE0">
      <w:pPr>
        <w:pStyle w:val="5"/>
        <w:jc w:val="both"/>
        <w:rPr>
          <w:color w:val="000000"/>
        </w:rPr>
      </w:pPr>
      <w:r>
        <w:rPr>
          <w:rFonts w:hint="eastAsia"/>
          <w:color w:val="000000"/>
        </w:rPr>
        <w:t>附件</w:t>
      </w:r>
      <w:r>
        <w:rPr>
          <w:rFonts w:hint="eastAsia"/>
          <w:color w:val="000000"/>
          <w:lang w:val="en-US" w:eastAsia="zh-CN"/>
        </w:rPr>
        <w:t>4</w:t>
      </w:r>
      <w:r>
        <w:rPr>
          <w:rFonts w:hint="eastAsia"/>
          <w:color w:val="000000"/>
        </w:rPr>
        <w:t>：</w:t>
      </w:r>
    </w:p>
    <w:p w14:paraId="2710AFFE">
      <w:pPr>
        <w:spacing w:line="360" w:lineRule="auto"/>
        <w:ind w:firstLine="602" w:firstLineChars="200"/>
        <w:jc w:val="center"/>
        <w:rPr>
          <w:rFonts w:hint="eastAsia" w:ascii="宋体" w:hAnsi="宋体" w:cs="宋体"/>
          <w:b/>
          <w:bCs/>
          <w:sz w:val="30"/>
          <w:szCs w:val="30"/>
          <w:lang w:eastAsia="zh-CN"/>
        </w:rPr>
      </w:pPr>
      <w:r>
        <w:rPr>
          <w:rFonts w:hint="eastAsia" w:ascii="宋体" w:hAnsi="宋体" w:cs="宋体"/>
          <w:b/>
          <w:bCs/>
          <w:sz w:val="30"/>
          <w:szCs w:val="30"/>
          <w:lang w:val="en-US" w:eastAsia="zh-CN"/>
        </w:rPr>
        <w:t>评审方案</w:t>
      </w:r>
    </w:p>
    <w:p w14:paraId="3B4F2A85">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1、评审步骤：</w:t>
      </w:r>
      <w:r>
        <w:rPr>
          <w:rFonts w:hint="eastAsia" w:ascii="宋体" w:hAnsi="宋体"/>
          <w:b w:val="0"/>
          <w:bCs w:val="0"/>
          <w:szCs w:val="21"/>
          <w:highlight w:val="none"/>
          <w:lang w:val="en-US" w:eastAsia="zh-CN"/>
        </w:rPr>
        <w:t>评审小组对响应文件的评审分为初审（资格性和符合性审查，详见响应文件模版参考内容）和详细评审，初审通过才进入详细评审环节。</w:t>
      </w:r>
    </w:p>
    <w:p w14:paraId="0A0E0CBC">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14:paraId="70DD3B52">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3、评审总得分＝商务技术得分+响应报价得分</w:t>
      </w:r>
      <w:r>
        <w:rPr>
          <w:rFonts w:hint="eastAsia" w:ascii="宋体" w:hAnsi="宋体"/>
          <w:b w:val="0"/>
          <w:bCs w:val="0"/>
          <w:szCs w:val="21"/>
          <w:highlight w:val="none"/>
          <w:lang w:val="en-US" w:eastAsia="zh-CN"/>
        </w:rPr>
        <w:t>　　</w:t>
      </w:r>
    </w:p>
    <w:p w14:paraId="554C9252">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4、</w:t>
      </w:r>
      <w:r>
        <w:rPr>
          <w:rFonts w:hint="eastAsia" w:ascii="宋体" w:hAnsi="宋体"/>
          <w:b w:val="0"/>
          <w:bCs w:val="0"/>
          <w:szCs w:val="21"/>
          <w:highlight w:val="none"/>
          <w:lang w:val="en-US" w:eastAsia="zh-CN"/>
        </w:rPr>
        <w:t>评审小组按评审得分由高到低进行排序，排名第一的推荐为拟成交供应商，排名第二的供应商为第二成交候选人，排名第三的供应商为第三成交候选人,依此类推。出现综合总得分并列时，报价总价低的供应商名次靠前；若综合得分和报价总价都相同，按技术得分高的供应商名次靠前；若综合得分、报价总价和技术得分都相同，由全体评委投票确定名次。</w:t>
      </w:r>
    </w:p>
    <w:p w14:paraId="0FCCA592">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5、响应文件的澄清</w:t>
      </w:r>
    </w:p>
    <w:p w14:paraId="501AE245">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14:paraId="1DE55AE2">
      <w:pPr>
        <w:numPr>
          <w:ilvl w:val="0"/>
          <w:numId w:val="0"/>
        </w:numPr>
        <w:spacing w:line="360" w:lineRule="auto"/>
        <w:ind w:firstLine="422" w:firstLineChars="200"/>
        <w:rPr>
          <w:rFonts w:hint="eastAsia" w:ascii="宋体" w:hAnsi="宋体"/>
          <w:b w:val="0"/>
          <w:bCs w:val="0"/>
          <w:szCs w:val="21"/>
          <w:highlight w:val="none"/>
          <w:lang w:val="en-US" w:eastAsia="zh-CN"/>
        </w:rPr>
      </w:pPr>
      <w:r>
        <w:rPr>
          <w:rFonts w:hint="eastAsia" w:ascii="宋体" w:hAnsi="宋体" w:eastAsia="宋体" w:cs="Times New Roman"/>
          <w:b/>
          <w:bCs/>
          <w:kern w:val="2"/>
          <w:sz w:val="21"/>
          <w:szCs w:val="21"/>
          <w:lang w:val="en-US" w:eastAsia="zh-CN" w:bidi="ar-SA"/>
        </w:rPr>
        <w:t>6、</w:t>
      </w:r>
      <w:r>
        <w:rPr>
          <w:rFonts w:hint="eastAsia" w:ascii="宋体" w:hAnsi="宋体"/>
          <w:b w:val="0"/>
          <w:bCs w:val="0"/>
          <w:szCs w:val="21"/>
          <w:highlight w:val="none"/>
          <w:lang w:val="en-US" w:eastAsia="zh-CN"/>
        </w:rPr>
        <w:t>成交供应商未向采购人来书面函退出或违反采购文件规定的，则采购人视为该成交供应商放弃成交资格。采购人可以按照评审报告的成交候选人名单顺序，确定下一候选人为成交供应商，也可以重新开展采购活动。</w:t>
      </w:r>
    </w:p>
    <w:p w14:paraId="59019F1F">
      <w:pPr>
        <w:spacing w:line="360" w:lineRule="auto"/>
        <w:ind w:firstLine="420" w:firstLineChars="200"/>
        <w:rPr>
          <w:rFonts w:hint="eastAsia" w:ascii="宋体" w:hAnsi="宋体" w:eastAsia="宋体" w:cs="宋体"/>
          <w:szCs w:val="21"/>
        </w:rPr>
      </w:pPr>
    </w:p>
    <w:p w14:paraId="392C8AE8">
      <w:pPr>
        <w:pStyle w:val="6"/>
        <w:ind w:left="0"/>
        <w:jc w:val="center"/>
        <w:rPr>
          <w:rFonts w:hint="default"/>
          <w:sz w:val="28"/>
          <w:szCs w:val="28"/>
          <w:lang w:val="en-US" w:eastAsia="zh-CN"/>
        </w:rPr>
      </w:pPr>
      <w:r>
        <w:rPr>
          <w:rFonts w:hint="eastAsia" w:ascii="宋体" w:hAnsi="宋体" w:cs="宋体"/>
          <w:b/>
          <w:bCs/>
          <w:sz w:val="28"/>
          <w:szCs w:val="28"/>
          <w:lang w:val="en-US" w:eastAsia="zh-CN"/>
        </w:rPr>
        <w:t>附表：中山市黄圃人民医院IPTV服务采购项目</w:t>
      </w:r>
      <w:r>
        <w:rPr>
          <w:rFonts w:hint="eastAsia" w:ascii="宋体" w:hAnsi="宋体" w:eastAsia="宋体" w:cs="宋体"/>
          <w:b/>
          <w:bCs/>
          <w:sz w:val="28"/>
          <w:szCs w:val="28"/>
        </w:rPr>
        <w:t>评分表</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87"/>
        <w:gridCol w:w="6443"/>
        <w:gridCol w:w="809"/>
      </w:tblGrid>
      <w:tr w14:paraId="1949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16" w:type="dxa"/>
            <w:noWrap w:val="0"/>
            <w:vAlign w:val="center"/>
          </w:tcPr>
          <w:p w14:paraId="3AED712C">
            <w:pPr>
              <w:pStyle w:val="7"/>
              <w:tabs>
                <w:tab w:val="clear" w:pos="4153"/>
                <w:tab w:val="clear" w:pos="8306"/>
              </w:tabs>
              <w:snapToGrid/>
              <w:spacing w:line="360" w:lineRule="auto"/>
              <w:jc w:val="center"/>
              <w:rPr>
                <w:rFonts w:hint="eastAsia" w:ascii="宋体" w:hAnsi="宋体" w:eastAsia="宋体" w:cs="宋体"/>
                <w:b/>
                <w:bCs/>
                <w:color w:val="auto"/>
                <w:sz w:val="21"/>
                <w:szCs w:val="21"/>
                <w:lang w:eastAsia="zh-CN"/>
              </w:rPr>
            </w:pPr>
            <w:bookmarkStart w:id="0" w:name="OLE_LINK2"/>
            <w:r>
              <w:rPr>
                <w:rFonts w:hint="eastAsia" w:ascii="宋体" w:hAnsi="宋体" w:cs="宋体"/>
                <w:b/>
                <w:bCs/>
                <w:color w:val="auto"/>
                <w:sz w:val="21"/>
                <w:szCs w:val="21"/>
                <w:lang w:eastAsia="zh-CN"/>
              </w:rPr>
              <w:t>项目</w:t>
            </w:r>
          </w:p>
        </w:tc>
        <w:tc>
          <w:tcPr>
            <w:tcW w:w="1087" w:type="dxa"/>
            <w:noWrap w:val="0"/>
            <w:vAlign w:val="center"/>
          </w:tcPr>
          <w:p w14:paraId="2F7322C9">
            <w:pPr>
              <w:pStyle w:val="7"/>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评审因素</w:t>
            </w:r>
          </w:p>
        </w:tc>
        <w:tc>
          <w:tcPr>
            <w:tcW w:w="6443" w:type="dxa"/>
            <w:noWrap w:val="0"/>
            <w:vAlign w:val="center"/>
          </w:tcPr>
          <w:p w14:paraId="6C87C9A1">
            <w:pPr>
              <w:pStyle w:val="7"/>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noWrap w:val="0"/>
            <w:vAlign w:val="center"/>
          </w:tcPr>
          <w:p w14:paraId="0730F95C">
            <w:pPr>
              <w:pStyle w:val="7"/>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14:paraId="3BF1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restart"/>
            <w:noWrap w:val="0"/>
            <w:vAlign w:val="center"/>
          </w:tcPr>
          <w:p w14:paraId="373B5F84">
            <w:pPr>
              <w:widowControl/>
              <w:spacing w:line="360" w:lineRule="auto"/>
              <w:jc w:val="center"/>
              <w:rPr>
                <w:rFonts w:hint="default" w:ascii="宋体" w:hAnsi="宋体" w:eastAsia="宋体" w:cs="宋体"/>
                <w:color w:val="auto"/>
                <w:spacing w:val="15"/>
                <w:kern w:val="0"/>
                <w:szCs w:val="21"/>
                <w:shd w:val="clear" w:color="auto" w:fill="FFFFFF"/>
                <w:lang w:val="en-US" w:eastAsia="zh-CN"/>
              </w:rPr>
            </w:pPr>
            <w:r>
              <w:rPr>
                <w:rFonts w:hint="eastAsia" w:ascii="宋体" w:hAnsi="宋体" w:eastAsia="宋体" w:cs="宋体"/>
                <w:color w:val="auto"/>
                <w:spacing w:val="15"/>
                <w:kern w:val="0"/>
                <w:szCs w:val="21"/>
                <w:shd w:val="clear" w:color="auto" w:fill="FFFFFF"/>
                <w:lang w:val="en-US" w:eastAsia="zh-CN"/>
              </w:rPr>
              <w:t>商务技术部分</w:t>
            </w:r>
          </w:p>
        </w:tc>
        <w:tc>
          <w:tcPr>
            <w:tcW w:w="1087" w:type="dxa"/>
            <w:noWrap w:val="0"/>
            <w:vAlign w:val="center"/>
          </w:tcPr>
          <w:p w14:paraId="3836AB3A">
            <w:pPr>
              <w:tabs>
                <w:tab w:val="decimal" w:pos="315"/>
                <w:tab w:val="left" w:pos="630"/>
              </w:tabs>
              <w:spacing w:line="276" w:lineRule="auto"/>
              <w:jc w:val="center"/>
              <w:rPr>
                <w:rFonts w:hint="eastAsia" w:ascii="宋体" w:hAnsi="宋体"/>
                <w:color w:val="auto"/>
                <w:szCs w:val="21"/>
                <w:highlight w:val="none"/>
              </w:rPr>
            </w:pPr>
            <w:r>
              <w:rPr>
                <w:rFonts w:hint="eastAsia"/>
                <w:color w:val="auto"/>
              </w:rPr>
              <w:t>技术</w:t>
            </w:r>
            <w:r>
              <w:rPr>
                <w:rFonts w:hint="eastAsia"/>
                <w:color w:val="auto"/>
                <w:lang w:eastAsia="zh-CN"/>
              </w:rPr>
              <w:t>要求</w:t>
            </w:r>
            <w:r>
              <w:rPr>
                <w:rFonts w:hint="eastAsia"/>
              </w:rPr>
              <w:t>响应程度</w:t>
            </w:r>
          </w:p>
        </w:tc>
        <w:tc>
          <w:tcPr>
            <w:tcW w:w="6443" w:type="dxa"/>
            <w:noWrap w:val="0"/>
            <w:vAlign w:val="center"/>
          </w:tcPr>
          <w:p w14:paraId="11C54995">
            <w:pPr>
              <w:tabs>
                <w:tab w:val="decimal" w:pos="315"/>
                <w:tab w:val="left" w:pos="630"/>
              </w:tabs>
              <w:spacing w:line="276" w:lineRule="auto"/>
              <w:jc w:val="left"/>
              <w:rPr>
                <w:rFonts w:hint="eastAsia"/>
                <w:color w:val="auto"/>
              </w:rPr>
            </w:pPr>
            <w:r>
              <w:rPr>
                <w:rFonts w:hint="eastAsia"/>
                <w:color w:val="auto"/>
              </w:rPr>
              <w:t>根据</w:t>
            </w:r>
            <w:r>
              <w:rPr>
                <w:rFonts w:hint="eastAsia"/>
                <w:color w:val="auto"/>
                <w:lang w:eastAsia="zh-CN"/>
              </w:rPr>
              <w:t>供应商</w:t>
            </w:r>
            <w:r>
              <w:rPr>
                <w:rFonts w:hint="eastAsia"/>
                <w:color w:val="auto"/>
              </w:rPr>
              <w:t>对</w:t>
            </w:r>
            <w:r>
              <w:rPr>
                <w:rFonts w:hint="eastAsia"/>
                <w:color w:val="auto"/>
                <w:lang w:eastAsia="zh-CN"/>
              </w:rPr>
              <w:t>用户需求书四、技术要求</w:t>
            </w:r>
            <w:r>
              <w:rPr>
                <w:rFonts w:hint="eastAsia"/>
                <w:color w:val="auto"/>
              </w:rPr>
              <w:t>（</w:t>
            </w:r>
            <w:r>
              <w:rPr>
                <w:rFonts w:hint="eastAsia" w:ascii="宋体" w:hAnsi="宋体" w:cs="宋体"/>
                <w:kern w:val="2"/>
                <w:sz w:val="22"/>
                <w:szCs w:val="22"/>
              </w:rPr>
              <w:t>每条条款最小一级序号均以一项计算</w:t>
            </w:r>
            <w:r>
              <w:rPr>
                <w:rFonts w:hint="eastAsia" w:ascii="宋体" w:hAnsi="宋体" w:cs="宋体"/>
                <w:kern w:val="2"/>
                <w:sz w:val="22"/>
                <w:szCs w:val="22"/>
                <w:lang w:val="en-US" w:eastAsia="zh-CN"/>
              </w:rPr>
              <w:t>,</w:t>
            </w:r>
            <w:r>
              <w:rPr>
                <w:rFonts w:hint="eastAsia"/>
                <w:color w:val="auto"/>
              </w:rPr>
              <w:t>共</w:t>
            </w:r>
            <w:r>
              <w:rPr>
                <w:rFonts w:hint="eastAsia"/>
                <w:color w:val="auto"/>
                <w:lang w:val="en-US" w:eastAsia="zh-CN"/>
              </w:rPr>
              <w:t>19</w:t>
            </w:r>
            <w:r>
              <w:rPr>
                <w:rFonts w:hint="eastAsia"/>
                <w:color w:val="auto"/>
              </w:rPr>
              <w:t>项）的满足程度进行评审。全部完全响应或优于要求的，得</w:t>
            </w:r>
            <w:r>
              <w:rPr>
                <w:rFonts w:hint="eastAsia"/>
                <w:color w:val="auto"/>
                <w:lang w:val="en-US" w:eastAsia="zh-CN"/>
              </w:rPr>
              <w:t>10</w:t>
            </w:r>
            <w:r>
              <w:rPr>
                <w:rFonts w:hint="eastAsia"/>
                <w:color w:val="auto"/>
              </w:rPr>
              <w:t>分；每负偏离一项扣</w:t>
            </w:r>
            <w:r>
              <w:rPr>
                <w:rFonts w:hint="eastAsia"/>
                <w:color w:val="auto"/>
                <w:lang w:val="en-US" w:eastAsia="zh-CN"/>
              </w:rPr>
              <w:t>0.5</w:t>
            </w:r>
            <w:r>
              <w:rPr>
                <w:rFonts w:hint="eastAsia"/>
                <w:color w:val="auto"/>
              </w:rPr>
              <w:t>分，最低得0分。</w:t>
            </w:r>
          </w:p>
          <w:p w14:paraId="02520B55">
            <w:pPr>
              <w:tabs>
                <w:tab w:val="decimal" w:pos="315"/>
                <w:tab w:val="left" w:pos="630"/>
              </w:tabs>
              <w:spacing w:line="276" w:lineRule="auto"/>
              <w:jc w:val="left"/>
              <w:rPr>
                <w:rFonts w:hint="eastAsia" w:ascii="宋体" w:hAnsi="宋体" w:eastAsia="宋体" w:cs="宋体"/>
                <w:b/>
                <w:bCs w:val="0"/>
                <w:color w:val="auto"/>
                <w:highlight w:val="yellow"/>
                <w:lang w:val="zh-CN" w:eastAsia="zh-CN"/>
              </w:rPr>
            </w:pPr>
            <w:r>
              <w:rPr>
                <w:rFonts w:hint="eastAsia"/>
                <w:b/>
                <w:bCs/>
                <w:color w:val="auto"/>
              </w:rPr>
              <w:t>注：</w:t>
            </w:r>
            <w:r>
              <w:rPr>
                <w:rFonts w:hint="eastAsia"/>
                <w:b/>
                <w:bCs/>
                <w:color w:val="auto"/>
                <w:lang w:eastAsia="zh-CN"/>
              </w:rPr>
              <w:t>供应商</w:t>
            </w:r>
            <w:r>
              <w:rPr>
                <w:rFonts w:hint="eastAsia"/>
                <w:b/>
                <w:bCs/>
                <w:color w:val="auto"/>
                <w:lang w:val="en-US" w:eastAsia="zh-CN"/>
              </w:rPr>
              <w:t>须</w:t>
            </w:r>
            <w:r>
              <w:rPr>
                <w:rFonts w:hint="eastAsia"/>
                <w:b/>
                <w:bCs/>
                <w:color w:val="auto"/>
              </w:rPr>
              <w:t>对技术</w:t>
            </w:r>
            <w:r>
              <w:rPr>
                <w:rFonts w:hint="eastAsia"/>
                <w:b/>
                <w:bCs/>
                <w:color w:val="auto"/>
                <w:lang w:eastAsia="zh-CN"/>
              </w:rPr>
              <w:t>要求的</w:t>
            </w:r>
            <w:r>
              <w:rPr>
                <w:rFonts w:hint="eastAsia"/>
                <w:b/>
                <w:bCs/>
                <w:color w:val="auto"/>
              </w:rPr>
              <w:t>每条要求出具相关证明材料（包括但不限于产品</w:t>
            </w:r>
            <w:r>
              <w:rPr>
                <w:rFonts w:hint="eastAsia"/>
                <w:b/>
                <w:bCs/>
                <w:color w:val="auto"/>
                <w:lang w:eastAsia="zh-CN"/>
              </w:rPr>
              <w:t>照片、界面</w:t>
            </w:r>
            <w:r>
              <w:rPr>
                <w:rFonts w:hint="eastAsia"/>
                <w:b/>
                <w:bCs/>
                <w:color w:val="auto"/>
              </w:rPr>
              <w:t>截图），仅有文字说明无</w:t>
            </w:r>
            <w:r>
              <w:rPr>
                <w:rFonts w:hint="eastAsia"/>
                <w:b/>
                <w:bCs/>
                <w:color w:val="auto"/>
                <w:lang w:eastAsia="zh-CN"/>
              </w:rPr>
              <w:t>证明材料</w:t>
            </w:r>
            <w:r>
              <w:rPr>
                <w:rFonts w:hint="eastAsia"/>
                <w:b/>
                <w:bCs/>
                <w:color w:val="auto"/>
              </w:rPr>
              <w:t>，视为本项参数不满足要求</w:t>
            </w:r>
            <w:r>
              <w:rPr>
                <w:rFonts w:hint="eastAsia"/>
                <w:b/>
                <w:bCs/>
                <w:color w:val="auto"/>
                <w:lang w:val="en-US" w:eastAsia="zh-CN"/>
              </w:rPr>
              <w:t>不得分</w:t>
            </w:r>
            <w:r>
              <w:rPr>
                <w:rFonts w:hint="eastAsia"/>
                <w:b/>
                <w:bCs/>
                <w:color w:val="auto"/>
              </w:rPr>
              <w:t>。</w:t>
            </w:r>
          </w:p>
        </w:tc>
        <w:tc>
          <w:tcPr>
            <w:tcW w:w="809" w:type="dxa"/>
            <w:noWrap w:val="0"/>
            <w:vAlign w:val="center"/>
          </w:tcPr>
          <w:p w14:paraId="26EC8B94">
            <w:pPr>
              <w:tabs>
                <w:tab w:val="decimal" w:pos="315"/>
                <w:tab w:val="left" w:pos="630"/>
              </w:tabs>
              <w:spacing w:line="276" w:lineRule="auto"/>
              <w:jc w:val="center"/>
              <w:rPr>
                <w:rFonts w:hint="eastAsia" w:ascii="宋体" w:hAnsi="宋体"/>
                <w:color w:val="auto"/>
                <w:sz w:val="21"/>
                <w:szCs w:val="21"/>
                <w:highlight w:val="none"/>
                <w:lang w:val="en-US" w:eastAsia="zh-CN"/>
              </w:rPr>
            </w:pPr>
            <w:r>
              <w:rPr>
                <w:rFonts w:hint="eastAsia"/>
                <w:lang w:val="en-US" w:eastAsia="zh-CN"/>
              </w:rPr>
              <w:t>10分</w:t>
            </w:r>
          </w:p>
        </w:tc>
      </w:tr>
      <w:tr w14:paraId="1588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16" w:type="dxa"/>
            <w:vMerge w:val="continue"/>
            <w:noWrap w:val="0"/>
            <w:vAlign w:val="center"/>
          </w:tcPr>
          <w:p w14:paraId="44B1EBD9">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188E639E">
            <w:pPr>
              <w:tabs>
                <w:tab w:val="decimal" w:pos="315"/>
                <w:tab w:val="left" w:pos="630"/>
              </w:tabs>
              <w:spacing w:line="276" w:lineRule="auto"/>
              <w:jc w:val="center"/>
              <w:rPr>
                <w:rFonts w:hint="eastAsia" w:ascii="宋体" w:hAnsi="宋体"/>
                <w:color w:val="auto"/>
                <w:szCs w:val="21"/>
                <w:highlight w:val="none"/>
              </w:rPr>
            </w:pPr>
            <w:r>
              <w:rPr>
                <w:rFonts w:hint="eastAsia" w:ascii="宋体" w:hAnsi="宋体"/>
                <w:color w:val="auto"/>
                <w:szCs w:val="21"/>
                <w:highlight w:val="none"/>
              </w:rPr>
              <w:t>企业资质</w:t>
            </w:r>
          </w:p>
        </w:tc>
        <w:tc>
          <w:tcPr>
            <w:tcW w:w="6443" w:type="dxa"/>
            <w:noWrap w:val="0"/>
            <w:vAlign w:val="center"/>
          </w:tcPr>
          <w:p w14:paraId="736A2DD1">
            <w:pPr>
              <w:tabs>
                <w:tab w:val="decimal" w:pos="315"/>
                <w:tab w:val="left" w:pos="630"/>
              </w:tabs>
              <w:spacing w:line="276" w:lineRule="auto"/>
              <w:rPr>
                <w:rFonts w:hint="eastAsia" w:ascii="Times New Roman" w:hAnsi="Times New Roman" w:eastAsia="宋体" w:cs="Times New Roman"/>
                <w:color w:val="auto"/>
                <w:lang w:val="en-US" w:eastAsia="zh-CN"/>
              </w:rPr>
            </w:pPr>
            <w:r>
              <w:rPr>
                <w:rFonts w:hint="eastAsia"/>
                <w:color w:val="auto"/>
                <w:lang w:val="en-US" w:eastAsia="zh-CN"/>
              </w:rPr>
              <w:t>供应商</w:t>
            </w:r>
            <w:r>
              <w:rPr>
                <w:rFonts w:hint="eastAsia"/>
                <w:color w:val="auto"/>
                <w:lang w:val="en-US"/>
              </w:rPr>
              <w:t>具备有效的质量管理体系认证、职业健康安全管理体系认证、</w:t>
            </w:r>
            <w:r>
              <w:rPr>
                <w:rFonts w:hint="eastAsia" w:ascii="Times New Roman" w:hAnsi="Times New Roman" w:eastAsia="宋体" w:cs="Times New Roman"/>
                <w:color w:val="auto"/>
                <w:lang w:val="en-US" w:eastAsia="zh-CN"/>
              </w:rPr>
              <w:t>业务连续性管理体系认证证书、信息安全管理体系认证</w:t>
            </w:r>
            <w:r>
              <w:rPr>
                <w:rFonts w:hint="eastAsia" w:cs="Times New Roman"/>
                <w:color w:val="auto"/>
                <w:lang w:val="en-US" w:eastAsia="zh-CN"/>
              </w:rPr>
              <w:t>、</w:t>
            </w:r>
            <w:r>
              <w:rPr>
                <w:rFonts w:hint="eastAsia" w:ascii="Times New Roman" w:hAnsi="Times New Roman" w:eastAsia="宋体" w:cs="Times New Roman"/>
                <w:color w:val="auto"/>
                <w:lang w:val="en-US" w:eastAsia="zh-CN"/>
              </w:rPr>
              <w:t>售后服务认证证书，每提供一个证书得1.</w:t>
            </w:r>
            <w:r>
              <w:rPr>
                <w:rFonts w:hint="eastAsia" w:cs="Times New Roman"/>
                <w:color w:val="auto"/>
                <w:lang w:val="en-US" w:eastAsia="zh-CN"/>
              </w:rPr>
              <w:t>8</w:t>
            </w:r>
            <w:r>
              <w:rPr>
                <w:rFonts w:hint="eastAsia" w:ascii="Times New Roman" w:hAnsi="Times New Roman" w:eastAsia="宋体" w:cs="Times New Roman"/>
                <w:color w:val="auto"/>
                <w:lang w:val="en-US" w:eastAsia="zh-CN"/>
              </w:rPr>
              <w:t>分，满分9分。</w:t>
            </w:r>
          </w:p>
          <w:p w14:paraId="3C469559">
            <w:pPr>
              <w:tabs>
                <w:tab w:val="decimal" w:pos="315"/>
                <w:tab w:val="left" w:pos="630"/>
              </w:tabs>
              <w:spacing w:line="276" w:lineRule="auto"/>
              <w:rPr>
                <w:rFonts w:hint="eastAsia"/>
                <w:lang w:val="zh-CN"/>
              </w:rPr>
            </w:pPr>
            <w:r>
              <w:rPr>
                <w:rFonts w:hint="eastAsia" w:ascii="Times New Roman" w:hAnsi="Times New Roman" w:eastAsia="宋体" w:cs="Times New Roman"/>
                <w:b/>
                <w:bCs/>
                <w:color w:val="auto"/>
                <w:lang w:val="en-US" w:eastAsia="zh-CN"/>
              </w:rPr>
              <w:t>注：提供证书复印件并加盖供应商公章，没有提供不得分，分公司响应的经授权可以使用上级公司的证书。</w:t>
            </w:r>
          </w:p>
        </w:tc>
        <w:tc>
          <w:tcPr>
            <w:tcW w:w="809" w:type="dxa"/>
            <w:noWrap w:val="0"/>
            <w:vAlign w:val="center"/>
          </w:tcPr>
          <w:p w14:paraId="74836F15">
            <w:pPr>
              <w:tabs>
                <w:tab w:val="decimal" w:pos="315"/>
                <w:tab w:val="left" w:pos="630"/>
              </w:tabs>
              <w:spacing w:line="276" w:lineRule="auto"/>
              <w:jc w:val="center"/>
              <w:rPr>
                <w:rFonts w:hint="default" w:ascii="宋体" w:hAnsi="宋体"/>
                <w:color w:val="auto"/>
                <w:sz w:val="21"/>
                <w:szCs w:val="21"/>
                <w:highlight w:val="none"/>
                <w:lang w:val="en-US" w:eastAsia="zh-CN"/>
              </w:rPr>
            </w:pPr>
            <w:r>
              <w:rPr>
                <w:rFonts w:hint="eastAsia" w:cs="Times New Roman"/>
                <w:color w:val="auto"/>
                <w:lang w:val="en-US" w:eastAsia="zh-CN"/>
              </w:rPr>
              <w:t>9</w:t>
            </w:r>
            <w:r>
              <w:rPr>
                <w:rFonts w:hint="eastAsia" w:ascii="宋体" w:hAnsi="宋体"/>
                <w:color w:val="auto"/>
                <w:sz w:val="21"/>
                <w:szCs w:val="21"/>
                <w:highlight w:val="none"/>
                <w:lang w:val="en-US" w:eastAsia="zh-CN"/>
              </w:rPr>
              <w:t>分</w:t>
            </w:r>
          </w:p>
        </w:tc>
      </w:tr>
      <w:tr w14:paraId="2E40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6" w:type="dxa"/>
            <w:vMerge w:val="continue"/>
            <w:noWrap w:val="0"/>
            <w:vAlign w:val="center"/>
          </w:tcPr>
          <w:p w14:paraId="205014AA">
            <w:pPr>
              <w:widowControl/>
              <w:spacing w:line="360" w:lineRule="auto"/>
              <w:jc w:val="center"/>
              <w:rPr>
                <w:rFonts w:hint="eastAsia" w:ascii="宋体" w:hAnsi="宋体" w:eastAsia="宋体" w:cs="宋体"/>
                <w:color w:val="auto"/>
                <w:spacing w:val="15"/>
                <w:kern w:val="0"/>
                <w:szCs w:val="21"/>
                <w:shd w:val="clear" w:color="auto" w:fill="FFFFFF"/>
                <w:lang w:eastAsia="zh-CN"/>
              </w:rPr>
            </w:pPr>
          </w:p>
        </w:tc>
        <w:tc>
          <w:tcPr>
            <w:tcW w:w="1087" w:type="dxa"/>
            <w:noWrap w:val="0"/>
            <w:vAlign w:val="center"/>
          </w:tcPr>
          <w:p w14:paraId="0661F9B7">
            <w:pPr>
              <w:tabs>
                <w:tab w:val="decimal" w:pos="315"/>
                <w:tab w:val="left" w:pos="630"/>
              </w:tabs>
              <w:spacing w:line="276" w:lineRule="auto"/>
              <w:jc w:val="center"/>
              <w:rPr>
                <w:rFonts w:hint="eastAsia" w:ascii="宋体" w:hAnsi="宋体" w:eastAsia="宋体"/>
                <w:color w:val="auto"/>
                <w:szCs w:val="21"/>
                <w:lang w:eastAsia="zh-CN"/>
              </w:rPr>
            </w:pPr>
            <w:r>
              <w:rPr>
                <w:rFonts w:hint="eastAsia" w:ascii="宋体" w:hAnsi="宋体"/>
                <w:color w:val="auto"/>
                <w:szCs w:val="21"/>
                <w:lang w:eastAsia="zh-CN"/>
              </w:rPr>
              <w:t>项目业绩</w:t>
            </w:r>
          </w:p>
        </w:tc>
        <w:tc>
          <w:tcPr>
            <w:tcW w:w="6443" w:type="dxa"/>
            <w:noWrap w:val="0"/>
            <w:vAlign w:val="center"/>
          </w:tcPr>
          <w:p w14:paraId="2C659E32">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color w:val="auto"/>
                <w:lang w:eastAsia="zh-CN"/>
              </w:rPr>
              <w:t>供应商提供</w:t>
            </w:r>
            <w:r>
              <w:rPr>
                <w:rFonts w:hint="eastAsia"/>
                <w:color w:val="auto"/>
                <w:lang w:val="en-US" w:eastAsia="zh-CN"/>
              </w:rPr>
              <w:t>2022年1月1日以来</w:t>
            </w:r>
            <w:r>
              <w:rPr>
                <w:rFonts w:hint="eastAsia"/>
                <w:color w:val="auto"/>
                <w:lang w:eastAsia="zh-CN"/>
              </w:rPr>
              <w:t>的</w:t>
            </w:r>
            <w:r>
              <w:rPr>
                <w:rFonts w:hint="eastAsia"/>
                <w:color w:val="auto"/>
                <w:lang w:val="en-US" w:eastAsia="zh-CN"/>
              </w:rPr>
              <w:t>同类项目业绩</w:t>
            </w:r>
            <w:r>
              <w:rPr>
                <w:rFonts w:hint="eastAsia"/>
                <w:color w:val="auto"/>
                <w:lang w:eastAsia="zh-CN"/>
              </w:rPr>
              <w:t>（</w:t>
            </w:r>
            <w:r>
              <w:rPr>
                <w:rFonts w:hint="eastAsia"/>
                <w:color w:val="auto"/>
                <w:lang w:val="en-US" w:eastAsia="zh-CN"/>
              </w:rPr>
              <w:t>以</w:t>
            </w:r>
            <w:r>
              <w:rPr>
                <w:rFonts w:hint="eastAsia"/>
                <w:color w:val="auto"/>
                <w:lang w:eastAsia="zh-CN"/>
              </w:rPr>
              <w:t>合同或中标（成交）通知书</w:t>
            </w:r>
            <w:r>
              <w:rPr>
                <w:rFonts w:hint="eastAsia"/>
                <w:color w:val="auto"/>
                <w:lang w:val="en-US" w:eastAsia="zh-CN"/>
              </w:rPr>
              <w:t>时间为准</w:t>
            </w:r>
            <w:r>
              <w:rPr>
                <w:rFonts w:hint="eastAsia"/>
                <w:color w:val="auto"/>
                <w:lang w:eastAsia="zh-CN"/>
              </w:rPr>
              <w:t>）</w:t>
            </w:r>
            <w:r>
              <w:rPr>
                <w:rFonts w:hint="eastAsia"/>
                <w:color w:val="auto"/>
                <w:lang w:val="en-US" w:eastAsia="zh-CN"/>
              </w:rPr>
              <w:t>，每提供一个业绩得2分，本项累计最高得6分。</w:t>
            </w:r>
            <w:r>
              <w:rPr>
                <w:rFonts w:hint="eastAsia"/>
                <w:color w:val="auto"/>
                <w:lang w:val="en-US" w:eastAsia="zh-CN"/>
              </w:rPr>
              <w:br w:type="textWrapping"/>
            </w:r>
            <w:r>
              <w:rPr>
                <w:rFonts w:hint="eastAsia"/>
                <w:b/>
                <w:bCs/>
                <w:color w:val="auto"/>
                <w:lang w:eastAsia="zh-CN"/>
              </w:rPr>
              <w:t>（注：1、提供完整合同或中标（成交）通知书复印件加盖公章，且必须有采购方联系人，以备证实；2、相同业绩提供不同证明材料的不重复计分。</w:t>
            </w:r>
            <w:r>
              <w:rPr>
                <w:rFonts w:hint="eastAsia"/>
                <w:b/>
                <w:bCs/>
                <w:color w:val="auto"/>
                <w:lang w:val="en-US" w:eastAsia="zh-CN"/>
              </w:rPr>
              <w:t>3、不提供不得分。</w:t>
            </w:r>
            <w:r>
              <w:rPr>
                <w:rFonts w:hint="eastAsia"/>
                <w:b/>
                <w:bCs/>
                <w:color w:val="auto"/>
                <w:lang w:eastAsia="zh-CN"/>
              </w:rPr>
              <w:t>）</w:t>
            </w:r>
          </w:p>
        </w:tc>
        <w:tc>
          <w:tcPr>
            <w:tcW w:w="809" w:type="dxa"/>
            <w:noWrap w:val="0"/>
            <w:vAlign w:val="center"/>
          </w:tcPr>
          <w:p w14:paraId="08697F45">
            <w:pPr>
              <w:tabs>
                <w:tab w:val="decimal" w:pos="315"/>
                <w:tab w:val="left" w:pos="630"/>
              </w:tabs>
              <w:spacing w:line="276" w:lineRule="auto"/>
              <w:jc w:val="center"/>
              <w:rPr>
                <w:rFonts w:ascii="宋体" w:hAnsi="宋体" w:cs="宋体"/>
                <w:color w:val="auto"/>
              </w:rPr>
            </w:pPr>
            <w:r>
              <w:rPr>
                <w:rFonts w:hint="eastAsia"/>
                <w:lang w:val="en-US" w:eastAsia="zh-CN"/>
              </w:rPr>
              <w:t>6分</w:t>
            </w:r>
          </w:p>
        </w:tc>
      </w:tr>
      <w:tr w14:paraId="5790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2C6F94BD">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vMerge w:val="restart"/>
            <w:noWrap w:val="0"/>
            <w:vAlign w:val="center"/>
          </w:tcPr>
          <w:p w14:paraId="333CA7AB">
            <w:pPr>
              <w:tabs>
                <w:tab w:val="decimal" w:pos="315"/>
                <w:tab w:val="left" w:pos="630"/>
              </w:tabs>
              <w:spacing w:line="276" w:lineRule="auto"/>
              <w:jc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技术人员力量</w:t>
            </w:r>
          </w:p>
        </w:tc>
        <w:tc>
          <w:tcPr>
            <w:tcW w:w="6443" w:type="dxa"/>
            <w:noWrap w:val="0"/>
            <w:vAlign w:val="center"/>
          </w:tcPr>
          <w:p w14:paraId="64EEAD3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1、项目经理（限1人）：</w:t>
            </w:r>
          </w:p>
          <w:p w14:paraId="046BE6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default" w:ascii="宋体" w:eastAsia="宋体" w:cs="宋体"/>
                <w:bCs/>
                <w:color w:val="000000"/>
                <w:sz w:val="21"/>
                <w:szCs w:val="21"/>
                <w:lang w:val="zh-CN"/>
              </w:rPr>
            </w:pPr>
            <w:r>
              <w:rPr>
                <w:rFonts w:hint="eastAsia" w:ascii="Times New Roman" w:hAnsi="Times New Roman" w:eastAsia="宋体" w:cs="Times New Roman"/>
                <w:color w:val="auto"/>
                <w:kern w:val="2"/>
                <w:sz w:val="21"/>
                <w:szCs w:val="24"/>
                <w:lang w:val="en-US" w:eastAsia="zh-CN" w:bidi="ar-SA"/>
              </w:rPr>
              <w:t>具有信息系统项目管理师证书得2分；具有有效信息安全工程师证书得2分；具有通信专业技术人员职业资格《传输与接入》专业证书得2分；具有网络工程师证书得2分。本项最高得8分。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b/>
                <w:bCs/>
                <w:color w:val="auto"/>
                <w:kern w:val="2"/>
                <w:sz w:val="21"/>
                <w:szCs w:val="24"/>
                <w:lang w:val="en-US" w:eastAsia="zh-CN" w:bidi="ar-SA"/>
              </w:rPr>
              <w:t>注：需提供相关资质证书复印件加盖供应商公章和在供应商任职的外部证明材料（如加盖政府有关部门印章的打印日期在本项目响应截止前3个月的投保单或社会保险参保人员证明或单位代缴个人所得税税单等）。不提供不得分。</w:t>
            </w:r>
          </w:p>
        </w:tc>
        <w:tc>
          <w:tcPr>
            <w:tcW w:w="809" w:type="dxa"/>
            <w:noWrap w:val="0"/>
            <w:vAlign w:val="center"/>
          </w:tcPr>
          <w:p w14:paraId="225F2FFF">
            <w:pPr>
              <w:tabs>
                <w:tab w:val="decimal" w:pos="315"/>
                <w:tab w:val="left" w:pos="630"/>
              </w:tabs>
              <w:spacing w:line="276" w:lineRule="auto"/>
              <w:jc w:val="center"/>
              <w:rPr>
                <w:rFonts w:hint="default"/>
                <w:lang w:val="en-US" w:eastAsia="zh-CN"/>
              </w:rPr>
            </w:pPr>
            <w:r>
              <w:rPr>
                <w:rFonts w:hint="eastAsia"/>
                <w:lang w:val="en-US" w:eastAsia="zh-CN"/>
              </w:rPr>
              <w:t>8分</w:t>
            </w:r>
          </w:p>
        </w:tc>
      </w:tr>
      <w:tr w14:paraId="05CD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6B957761">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vMerge w:val="continue"/>
            <w:noWrap w:val="0"/>
            <w:vAlign w:val="center"/>
          </w:tcPr>
          <w:p w14:paraId="07E1F5D1">
            <w:pPr>
              <w:tabs>
                <w:tab w:val="decimal" w:pos="315"/>
                <w:tab w:val="left" w:pos="630"/>
              </w:tabs>
              <w:spacing w:line="276" w:lineRule="auto"/>
              <w:jc w:val="center"/>
              <w:rPr>
                <w:rFonts w:hint="default" w:eastAsia="宋体"/>
                <w:color w:val="auto"/>
                <w:lang w:val="en-US" w:eastAsia="zh-CN"/>
              </w:rPr>
            </w:pPr>
          </w:p>
        </w:tc>
        <w:tc>
          <w:tcPr>
            <w:tcW w:w="6443" w:type="dxa"/>
            <w:noWrap w:val="0"/>
            <w:vAlign w:val="center"/>
          </w:tcPr>
          <w:p w14:paraId="0CF0DEE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1、拟投入的技术人员：</w:t>
            </w:r>
          </w:p>
          <w:p w14:paraId="46FF850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（1）具有电子工程师证书，每提供一个证书得0.5，该小项最高得1分。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（2）具有网络规划设计师（高级）证书，每提供一个证书得0.5分，该小项最高得1分。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（3）具有通信工程师证书，每提供一个证书得0.5分，该小项最高得1.5分。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（4）具有项目管理师（一级），每提供一个证书得0.5分，该小项最高得1.5分。</w:t>
            </w:r>
          </w:p>
          <w:p w14:paraId="7814042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本项最高得5分。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2、售后服务人员：</w:t>
            </w:r>
          </w:p>
          <w:p w14:paraId="2956159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default" w:ascii="宋体" w:eastAsia="宋体" w:cs="宋体"/>
                <w:bCs/>
                <w:color w:val="000000"/>
                <w:sz w:val="21"/>
                <w:szCs w:val="21"/>
                <w:lang w:val="zh-CN"/>
              </w:rPr>
            </w:pPr>
            <w:r>
              <w:rPr>
                <w:rFonts w:hint="eastAsia" w:ascii="Times New Roman" w:hAnsi="Times New Roman" w:eastAsia="宋体" w:cs="Times New Roman"/>
                <w:color w:val="auto"/>
                <w:kern w:val="2"/>
                <w:sz w:val="21"/>
                <w:szCs w:val="24"/>
                <w:lang w:val="en-US" w:eastAsia="zh-CN" w:bidi="ar-SA"/>
              </w:rPr>
              <w:t>具有“客户服务管理师”证书，每提供一个证书得0.5分，本项最高得2分。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b/>
                <w:bCs/>
                <w:color w:val="auto"/>
                <w:kern w:val="2"/>
                <w:sz w:val="21"/>
                <w:szCs w:val="24"/>
                <w:lang w:val="en-US" w:eastAsia="zh-CN" w:bidi="ar-SA"/>
              </w:rPr>
              <w:t>注：需提供相关人员相关资质证书复印件加盖供应商公章和在供应商任职的外部证明材料（如加盖政府有关部门印章的打印日期在本项目响应截止前3个月的投保单或社会保险参保人员证明或单位代缴个人所得税税单等）。不提供不得分。</w:t>
            </w:r>
          </w:p>
        </w:tc>
        <w:tc>
          <w:tcPr>
            <w:tcW w:w="809" w:type="dxa"/>
            <w:noWrap w:val="0"/>
            <w:vAlign w:val="center"/>
          </w:tcPr>
          <w:p w14:paraId="6F471A32">
            <w:pPr>
              <w:tabs>
                <w:tab w:val="decimal" w:pos="315"/>
                <w:tab w:val="left" w:pos="630"/>
              </w:tabs>
              <w:spacing w:line="276" w:lineRule="auto"/>
              <w:jc w:val="center"/>
              <w:rPr>
                <w:rFonts w:hint="default"/>
                <w:lang w:val="en-US" w:eastAsia="zh-CN"/>
              </w:rPr>
            </w:pPr>
            <w:r>
              <w:rPr>
                <w:rFonts w:hint="eastAsia"/>
                <w:lang w:val="en-US" w:eastAsia="zh-CN"/>
              </w:rPr>
              <w:t>7分</w:t>
            </w:r>
          </w:p>
        </w:tc>
      </w:tr>
      <w:tr w14:paraId="65F0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5A2FAFDD">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2D4F0C23">
            <w:pPr>
              <w:tabs>
                <w:tab w:val="decimal" w:pos="315"/>
                <w:tab w:val="left" w:pos="630"/>
              </w:tabs>
              <w:spacing w:line="276" w:lineRule="auto"/>
              <w:jc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项目实施方案</w:t>
            </w:r>
          </w:p>
        </w:tc>
        <w:tc>
          <w:tcPr>
            <w:tcW w:w="6443" w:type="dxa"/>
            <w:noWrap w:val="0"/>
            <w:vAlign w:val="center"/>
          </w:tcPr>
          <w:p w14:paraId="153CC56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就供应商对本项目总体实施方案进行综合评审：</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1.项目管理及进度安排完善合理，总体实施方案详细全面，施工措施可行性强，完全满足项目采购需求的，得15分。</w:t>
            </w:r>
          </w:p>
          <w:p w14:paraId="3C2EB3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2.项目管理及进度安排较完善合理，总体实施方案较详细全面，施工措施可行性较强，基本满足项目采购需求的，得11分。</w:t>
            </w:r>
          </w:p>
          <w:p w14:paraId="29E0B7B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3.项目管理及进度安排一般，总体实施方案一般，施工措施可行性一般，部分满足项目采购需求的，得7分。</w:t>
            </w:r>
          </w:p>
          <w:p w14:paraId="193FC7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4.项目管理及进度安排差，总体实施方案差，施工措施可行性差，未能满足项目采购需求的，得3分。</w:t>
            </w:r>
          </w:p>
          <w:p w14:paraId="5140EA6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0" w:right="0" w:firstLine="0" w:firstLineChars="0"/>
              <w:textAlignment w:val="auto"/>
              <w:rPr>
                <w:rFonts w:hint="default" w:ascii="宋体" w:eastAsia="宋体" w:cs="宋体"/>
                <w:i w:val="0"/>
                <w:iCs w:val="0"/>
                <w:color w:val="000000"/>
                <w:kern w:val="0"/>
                <w:sz w:val="24"/>
                <w:szCs w:val="24"/>
                <w:u w:val="none"/>
                <w:lang w:val="en-US" w:eastAsia="zh-CN" w:bidi="ar"/>
              </w:rPr>
            </w:pPr>
            <w:r>
              <w:rPr>
                <w:rFonts w:hint="eastAsia" w:ascii="Times New Roman" w:hAnsi="Times New Roman" w:eastAsia="宋体" w:cs="Times New Roman"/>
                <w:color w:val="auto"/>
                <w:kern w:val="2"/>
                <w:sz w:val="21"/>
                <w:szCs w:val="24"/>
                <w:lang w:val="en-US" w:eastAsia="zh-CN" w:bidi="ar-SA"/>
              </w:rPr>
              <w:t>5.不提供不得分。</w:t>
            </w:r>
          </w:p>
        </w:tc>
        <w:tc>
          <w:tcPr>
            <w:tcW w:w="809" w:type="dxa"/>
            <w:noWrap w:val="0"/>
            <w:vAlign w:val="center"/>
          </w:tcPr>
          <w:p w14:paraId="5CBF5603">
            <w:pPr>
              <w:tabs>
                <w:tab w:val="decimal" w:pos="315"/>
                <w:tab w:val="left" w:pos="630"/>
              </w:tabs>
              <w:spacing w:line="276" w:lineRule="auto"/>
              <w:jc w:val="center"/>
              <w:rPr>
                <w:rFonts w:hint="eastAsia" w:eastAsia="宋体"/>
                <w:lang w:val="en-US" w:eastAsia="zh-CN"/>
              </w:rPr>
            </w:pPr>
            <w:r>
              <w:rPr>
                <w:rFonts w:hint="eastAsia"/>
                <w:color w:val="auto"/>
                <w:lang w:val="en-US" w:eastAsia="zh-CN"/>
              </w:rPr>
              <w:t>15分</w:t>
            </w:r>
          </w:p>
        </w:tc>
      </w:tr>
      <w:tr w14:paraId="1806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6169AB85">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48486165">
            <w:pPr>
              <w:tabs>
                <w:tab w:val="decimal" w:pos="315"/>
                <w:tab w:val="left" w:pos="630"/>
              </w:tabs>
              <w:spacing w:line="276" w:lineRule="auto"/>
              <w:jc w:val="center"/>
              <w:rPr>
                <w:rFonts w:hint="default" w:eastAsia="宋体"/>
                <w:color w:val="auto"/>
                <w:lang w:val="en-US" w:eastAsia="zh-CN"/>
              </w:rPr>
            </w:pPr>
            <w:r>
              <w:rPr>
                <w:rFonts w:hint="eastAsia" w:ascii="宋体" w:hAnsi="宋体" w:cs="宋体"/>
                <w:i w:val="0"/>
                <w:iCs w:val="0"/>
                <w:color w:val="auto"/>
                <w:kern w:val="0"/>
                <w:sz w:val="24"/>
                <w:szCs w:val="24"/>
                <w:u w:val="none"/>
                <w:lang w:val="en-US" w:eastAsia="zh-CN" w:bidi="ar"/>
              </w:rPr>
              <w:t>维护</w:t>
            </w:r>
            <w:r>
              <w:rPr>
                <w:rFonts w:hint="eastAsia" w:ascii="宋体" w:hAnsi="宋体" w:eastAsia="宋体" w:cs="宋体"/>
                <w:i w:val="0"/>
                <w:iCs w:val="0"/>
                <w:color w:val="auto"/>
                <w:kern w:val="0"/>
                <w:sz w:val="24"/>
                <w:szCs w:val="24"/>
                <w:u w:val="none"/>
                <w:lang w:val="en-US" w:eastAsia="zh-CN" w:bidi="ar"/>
              </w:rPr>
              <w:t>服务</w:t>
            </w:r>
          </w:p>
        </w:tc>
        <w:tc>
          <w:tcPr>
            <w:tcW w:w="6443" w:type="dxa"/>
            <w:noWrap w:val="0"/>
            <w:vAlign w:val="center"/>
          </w:tcPr>
          <w:p w14:paraId="1CF4FE55">
            <w:pPr>
              <w:pStyle w:val="11"/>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color w:val="auto"/>
                <w:kern w:val="2"/>
                <w:sz w:val="21"/>
                <w:szCs w:val="24"/>
                <w:lang w:val="en-US" w:eastAsia="zh-CN" w:bidi="ar-SA"/>
              </w:rPr>
              <w:t>根据供应商提供的维护服务方案、服务响应、技术支持等进行评审：</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1、维护服务方案全面完整合理、服务响应及技术支持详尽，完全满足项目要求得10分。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2、维护服务方案一般、服务响应及技术支持一般，部分满足项目要求得6分。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3、维护服务方案差、服务响应及技术支持差，未能满足项目要求得2分。</w:t>
            </w:r>
            <w:r>
              <w:rPr>
                <w:rFonts w:hint="eastAsia" w:ascii="Times New Roman" w:hAnsi="Times New Roman" w:eastAsia="宋体" w:cs="Times New Roman"/>
                <w:color w:val="auto"/>
                <w:kern w:val="2"/>
                <w:sz w:val="21"/>
                <w:szCs w:val="24"/>
                <w:lang w:val="en-US" w:eastAsia="zh-CN" w:bidi="ar-SA"/>
              </w:rPr>
              <w:br w:type="textWrapping"/>
            </w:r>
            <w:r>
              <w:rPr>
                <w:rFonts w:hint="eastAsia" w:ascii="Times New Roman" w:hAnsi="Times New Roman" w:eastAsia="宋体" w:cs="Times New Roman"/>
                <w:color w:val="auto"/>
                <w:kern w:val="2"/>
                <w:sz w:val="21"/>
                <w:szCs w:val="24"/>
                <w:lang w:val="en-US" w:eastAsia="zh-CN" w:bidi="ar-SA"/>
              </w:rPr>
              <w:t>4、无或其他得0分。</w:t>
            </w:r>
          </w:p>
        </w:tc>
        <w:tc>
          <w:tcPr>
            <w:tcW w:w="809" w:type="dxa"/>
            <w:noWrap w:val="0"/>
            <w:vAlign w:val="center"/>
          </w:tcPr>
          <w:p w14:paraId="63556A7A">
            <w:pPr>
              <w:tabs>
                <w:tab w:val="decimal" w:pos="315"/>
                <w:tab w:val="left" w:pos="630"/>
              </w:tabs>
              <w:spacing w:line="276" w:lineRule="auto"/>
              <w:jc w:val="center"/>
              <w:rPr>
                <w:rFonts w:hint="default"/>
                <w:lang w:val="en-US" w:eastAsia="zh-CN"/>
              </w:rPr>
            </w:pPr>
            <w:r>
              <w:rPr>
                <w:rFonts w:hint="eastAsia"/>
                <w:lang w:val="en-US" w:eastAsia="zh-CN"/>
              </w:rPr>
              <w:t>10分</w:t>
            </w:r>
          </w:p>
        </w:tc>
      </w:tr>
      <w:tr w14:paraId="6B9A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60359A33">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14:paraId="20073D5E">
            <w:pPr>
              <w:tabs>
                <w:tab w:val="decimal" w:pos="315"/>
                <w:tab w:val="left" w:pos="630"/>
              </w:tabs>
              <w:spacing w:line="276" w:lineRule="auto"/>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应急预案</w:t>
            </w:r>
          </w:p>
        </w:tc>
        <w:tc>
          <w:tcPr>
            <w:tcW w:w="6443" w:type="dxa"/>
            <w:noWrap w:val="0"/>
            <w:vAlign w:val="center"/>
          </w:tcPr>
          <w:p w14:paraId="17A1171F">
            <w:pPr>
              <w:pStyle w:val="11"/>
              <w:keepNext w:val="0"/>
              <w:keepLines w:val="0"/>
              <w:widowControl/>
              <w:suppressLineNumbers w:val="0"/>
              <w:spacing w:before="0" w:beforeAutospacing="0" w:after="0" w:afterAutospacing="0" w:line="216" w:lineRule="auto"/>
              <w:ind w:left="0" w:right="0" w:firstLine="0" w:firstLineChars="0"/>
              <w:rPr>
                <w:rFonts w:hint="default" w:ascii="Times New Roman" w:hAnsi="Times New Roman" w:eastAsia="宋体" w:cs="Times New Roman"/>
                <w:color w:val="auto"/>
                <w:kern w:val="2"/>
                <w:sz w:val="21"/>
                <w:szCs w:val="24"/>
                <w:lang w:val="zh-CN" w:eastAsia="zh-CN" w:bidi="ar-SA"/>
              </w:rPr>
            </w:pPr>
            <w:r>
              <w:rPr>
                <w:rFonts w:hint="default" w:ascii="Times New Roman" w:hAnsi="Times New Roman" w:eastAsia="宋体" w:cs="Times New Roman"/>
                <w:color w:val="auto"/>
                <w:kern w:val="2"/>
                <w:sz w:val="21"/>
                <w:szCs w:val="24"/>
                <w:lang w:val="zh-CN" w:eastAsia="zh-CN" w:bidi="ar-SA"/>
              </w:rPr>
              <w:t>根据</w:t>
            </w:r>
            <w:r>
              <w:rPr>
                <w:rFonts w:hint="eastAsia" w:ascii="Times New Roman" w:hAnsi="Times New Roman" w:eastAsia="宋体" w:cs="Times New Roman"/>
                <w:color w:val="auto"/>
                <w:kern w:val="2"/>
                <w:sz w:val="21"/>
                <w:szCs w:val="24"/>
                <w:lang w:val="zh-CN" w:eastAsia="zh-CN" w:bidi="ar-SA"/>
              </w:rPr>
              <w:t>供应商</w:t>
            </w:r>
            <w:r>
              <w:rPr>
                <w:rFonts w:hint="default" w:ascii="Times New Roman" w:hAnsi="Times New Roman" w:eastAsia="宋体" w:cs="Times New Roman"/>
                <w:color w:val="auto"/>
                <w:kern w:val="2"/>
                <w:sz w:val="21"/>
                <w:szCs w:val="24"/>
                <w:lang w:val="zh-CN" w:eastAsia="zh-CN" w:bidi="ar-SA"/>
              </w:rPr>
              <w:t xml:space="preserve">提供的应急预案进行评审: </w:t>
            </w:r>
          </w:p>
          <w:p w14:paraId="421876D2">
            <w:pPr>
              <w:pStyle w:val="11"/>
              <w:keepNext w:val="0"/>
              <w:keepLines w:val="0"/>
              <w:widowControl/>
              <w:suppressLineNumbers w:val="0"/>
              <w:spacing w:before="0" w:beforeAutospacing="0" w:after="0" w:afterAutospacing="0" w:line="216" w:lineRule="auto"/>
              <w:ind w:left="0" w:right="0" w:firstLine="0" w:firstLineChars="0"/>
              <w:rPr>
                <w:rFonts w:hint="default" w:ascii="Times New Roman" w:hAnsi="Times New Roman" w:eastAsia="宋体" w:cs="Times New Roman"/>
                <w:color w:val="auto"/>
                <w:kern w:val="2"/>
                <w:sz w:val="21"/>
                <w:szCs w:val="24"/>
                <w:lang w:val="zh-CN" w:eastAsia="zh-CN" w:bidi="ar-SA"/>
              </w:rPr>
            </w:pPr>
            <w:r>
              <w:rPr>
                <w:rFonts w:hint="default" w:ascii="Times New Roman" w:hAnsi="Times New Roman" w:eastAsia="宋体" w:cs="Times New Roman"/>
                <w:color w:val="auto"/>
                <w:kern w:val="2"/>
                <w:sz w:val="21"/>
                <w:szCs w:val="24"/>
                <w:lang w:val="zh-CN" w:eastAsia="zh-CN" w:bidi="ar-SA"/>
              </w:rPr>
              <w:t>1</w:t>
            </w:r>
            <w:r>
              <w:rPr>
                <w:rFonts w:hint="eastAsia" w:ascii="Times New Roman" w:hAnsi="Times New Roman" w:eastAsia="宋体" w:cs="Times New Roman"/>
                <w:color w:val="auto"/>
                <w:kern w:val="2"/>
                <w:sz w:val="21"/>
                <w:szCs w:val="24"/>
                <w:lang w:val="zh-CN" w:eastAsia="zh-CN" w:bidi="ar-SA"/>
              </w:rPr>
              <w:t>、</w:t>
            </w:r>
            <w:r>
              <w:rPr>
                <w:rFonts w:hint="default" w:ascii="Times New Roman" w:hAnsi="Times New Roman" w:eastAsia="宋体" w:cs="Times New Roman"/>
                <w:color w:val="auto"/>
                <w:kern w:val="2"/>
                <w:sz w:val="21"/>
                <w:szCs w:val="24"/>
                <w:lang w:val="zh-CN" w:eastAsia="zh-CN" w:bidi="ar-SA"/>
              </w:rPr>
              <w:t>应急方案考虑充分周全，能及时解决突发情况，能保障采购人日常工作顺利进行的，得5分；</w:t>
            </w:r>
          </w:p>
          <w:p w14:paraId="38A9896C">
            <w:pPr>
              <w:pStyle w:val="11"/>
              <w:keepNext w:val="0"/>
              <w:keepLines w:val="0"/>
              <w:widowControl/>
              <w:suppressLineNumbers w:val="0"/>
              <w:spacing w:before="0" w:beforeAutospacing="0" w:after="0" w:afterAutospacing="0" w:line="216" w:lineRule="auto"/>
              <w:ind w:left="0" w:right="0" w:firstLine="0" w:firstLineChars="0"/>
              <w:rPr>
                <w:rFonts w:hint="default" w:ascii="Times New Roman" w:hAnsi="Times New Roman" w:eastAsia="宋体" w:cs="Times New Roman"/>
                <w:color w:val="auto"/>
                <w:kern w:val="2"/>
                <w:sz w:val="21"/>
                <w:szCs w:val="24"/>
                <w:lang w:val="zh-CN" w:eastAsia="zh-CN" w:bidi="ar-SA"/>
              </w:rPr>
            </w:pPr>
            <w:r>
              <w:rPr>
                <w:rFonts w:hint="default" w:ascii="Times New Roman" w:hAnsi="Times New Roman" w:eastAsia="宋体" w:cs="Times New Roman"/>
                <w:color w:val="auto"/>
                <w:kern w:val="2"/>
                <w:sz w:val="21"/>
                <w:szCs w:val="24"/>
                <w:lang w:val="zh-CN" w:eastAsia="zh-CN" w:bidi="ar-SA"/>
              </w:rPr>
              <w:t>2</w:t>
            </w:r>
            <w:r>
              <w:rPr>
                <w:rFonts w:hint="eastAsia" w:ascii="Times New Roman" w:hAnsi="Times New Roman" w:eastAsia="宋体" w:cs="Times New Roman"/>
                <w:color w:val="auto"/>
                <w:kern w:val="2"/>
                <w:sz w:val="21"/>
                <w:szCs w:val="24"/>
                <w:lang w:val="zh-CN" w:eastAsia="zh-CN" w:bidi="ar-SA"/>
              </w:rPr>
              <w:t>、</w:t>
            </w:r>
            <w:r>
              <w:rPr>
                <w:rFonts w:hint="default" w:ascii="Times New Roman" w:hAnsi="Times New Roman" w:eastAsia="宋体" w:cs="Times New Roman"/>
                <w:color w:val="auto"/>
                <w:kern w:val="2"/>
                <w:sz w:val="21"/>
                <w:szCs w:val="24"/>
                <w:lang w:val="zh-CN" w:eastAsia="zh-CN" w:bidi="ar-SA"/>
              </w:rPr>
              <w:t>应急方案考虑比较周全，</w:t>
            </w:r>
            <w:r>
              <w:rPr>
                <w:rFonts w:hint="eastAsia" w:ascii="Times New Roman" w:hAnsi="Times New Roman" w:eastAsia="宋体" w:cs="Times New Roman"/>
                <w:color w:val="auto"/>
                <w:kern w:val="2"/>
                <w:sz w:val="21"/>
                <w:szCs w:val="24"/>
                <w:lang w:val="zh-CN" w:eastAsia="zh-CN" w:bidi="ar-SA"/>
              </w:rPr>
              <w:t>较</w:t>
            </w:r>
            <w:r>
              <w:rPr>
                <w:rFonts w:hint="default" w:ascii="Times New Roman" w:hAnsi="Times New Roman" w:eastAsia="宋体" w:cs="Times New Roman"/>
                <w:color w:val="auto"/>
                <w:kern w:val="2"/>
                <w:sz w:val="21"/>
                <w:szCs w:val="24"/>
                <w:lang w:val="zh-CN" w:eastAsia="zh-CN" w:bidi="ar-SA"/>
              </w:rPr>
              <w:t>能及时解决突发情况，较能保障采购人日常工作顺利进行的，得3分；</w:t>
            </w:r>
          </w:p>
          <w:p w14:paraId="71887653">
            <w:pPr>
              <w:pStyle w:val="11"/>
              <w:keepNext w:val="0"/>
              <w:keepLines w:val="0"/>
              <w:widowControl/>
              <w:suppressLineNumbers w:val="0"/>
              <w:spacing w:before="0" w:beforeAutospacing="0" w:after="0" w:afterAutospacing="0" w:line="216" w:lineRule="auto"/>
              <w:ind w:left="0" w:right="0" w:firstLine="0" w:firstLineChars="0"/>
              <w:rPr>
                <w:rFonts w:hint="default" w:ascii="Times New Roman" w:hAnsi="Times New Roman" w:eastAsia="宋体" w:cs="Times New Roman"/>
                <w:color w:val="auto"/>
                <w:kern w:val="2"/>
                <w:sz w:val="21"/>
                <w:szCs w:val="24"/>
                <w:lang w:val="zh-CN" w:eastAsia="zh-CN" w:bidi="ar-SA"/>
              </w:rPr>
            </w:pPr>
            <w:r>
              <w:rPr>
                <w:rFonts w:hint="default" w:ascii="Times New Roman" w:hAnsi="Times New Roman" w:eastAsia="宋体" w:cs="Times New Roman"/>
                <w:color w:val="auto"/>
                <w:kern w:val="2"/>
                <w:sz w:val="21"/>
                <w:szCs w:val="24"/>
                <w:lang w:val="zh-CN" w:eastAsia="zh-CN" w:bidi="ar-SA"/>
              </w:rPr>
              <w:t>3</w:t>
            </w:r>
            <w:r>
              <w:rPr>
                <w:rFonts w:hint="eastAsia" w:ascii="Times New Roman" w:hAnsi="Times New Roman" w:eastAsia="宋体" w:cs="Times New Roman"/>
                <w:color w:val="auto"/>
                <w:kern w:val="2"/>
                <w:sz w:val="21"/>
                <w:szCs w:val="24"/>
                <w:lang w:val="zh-CN" w:eastAsia="zh-CN" w:bidi="ar-SA"/>
              </w:rPr>
              <w:t>、</w:t>
            </w:r>
            <w:r>
              <w:rPr>
                <w:rFonts w:hint="default" w:ascii="Times New Roman" w:hAnsi="Times New Roman" w:eastAsia="宋体" w:cs="Times New Roman"/>
                <w:color w:val="auto"/>
                <w:kern w:val="2"/>
                <w:sz w:val="21"/>
                <w:szCs w:val="24"/>
                <w:lang w:val="zh-CN" w:eastAsia="zh-CN" w:bidi="ar-SA"/>
              </w:rPr>
              <w:t>应急方案考虑不周全，不能解决突发情况需求，不能保障采购人日常工作顺利进行的，得1分；</w:t>
            </w:r>
          </w:p>
          <w:p w14:paraId="1AD7BB2B">
            <w:pPr>
              <w:pStyle w:val="11"/>
              <w:keepNext w:val="0"/>
              <w:keepLines w:val="0"/>
              <w:widowControl/>
              <w:suppressLineNumbers w:val="0"/>
              <w:spacing w:before="0" w:beforeAutospacing="0" w:after="0" w:afterAutospacing="0" w:line="216" w:lineRule="auto"/>
              <w:ind w:left="0" w:right="0" w:firstLine="0" w:firstLineChars="0"/>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auto"/>
                <w:kern w:val="2"/>
                <w:sz w:val="21"/>
                <w:szCs w:val="24"/>
                <w:lang w:val="zh-CN" w:eastAsia="zh-CN" w:bidi="ar-SA"/>
              </w:rPr>
              <w:t>4</w:t>
            </w:r>
            <w:r>
              <w:rPr>
                <w:rFonts w:hint="eastAsia" w:ascii="Times New Roman" w:hAnsi="Times New Roman" w:eastAsia="宋体" w:cs="Times New Roman"/>
                <w:color w:val="auto"/>
                <w:kern w:val="2"/>
                <w:sz w:val="21"/>
                <w:szCs w:val="24"/>
                <w:lang w:val="zh-CN" w:eastAsia="zh-CN" w:bidi="ar-SA"/>
              </w:rPr>
              <w:t>、</w:t>
            </w:r>
            <w:r>
              <w:rPr>
                <w:rFonts w:hint="default" w:ascii="Times New Roman" w:hAnsi="Times New Roman" w:eastAsia="宋体" w:cs="Times New Roman"/>
                <w:color w:val="auto"/>
                <w:kern w:val="2"/>
                <w:sz w:val="21"/>
                <w:szCs w:val="24"/>
                <w:lang w:val="zh-CN" w:eastAsia="zh-CN" w:bidi="ar-SA"/>
              </w:rPr>
              <w:t>无提供方案不得分。</w:t>
            </w:r>
          </w:p>
        </w:tc>
        <w:tc>
          <w:tcPr>
            <w:tcW w:w="809" w:type="dxa"/>
            <w:noWrap w:val="0"/>
            <w:vAlign w:val="center"/>
          </w:tcPr>
          <w:p w14:paraId="316691B3">
            <w:pPr>
              <w:tabs>
                <w:tab w:val="decimal" w:pos="315"/>
                <w:tab w:val="left" w:pos="630"/>
              </w:tabs>
              <w:spacing w:line="276" w:lineRule="auto"/>
              <w:jc w:val="center"/>
              <w:rPr>
                <w:rFonts w:hint="default"/>
                <w:lang w:val="en-US" w:eastAsia="zh-CN"/>
              </w:rPr>
            </w:pPr>
            <w:r>
              <w:rPr>
                <w:rFonts w:hint="eastAsia"/>
                <w:lang w:val="en-US" w:eastAsia="zh-CN"/>
              </w:rPr>
              <w:t>5分</w:t>
            </w:r>
            <w:bookmarkStart w:id="1" w:name="_GoBack"/>
            <w:bookmarkEnd w:id="1"/>
          </w:p>
        </w:tc>
      </w:tr>
      <w:tr w14:paraId="5ED4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6" w:type="dxa"/>
            <w:noWrap w:val="0"/>
            <w:vAlign w:val="center"/>
          </w:tcPr>
          <w:p w14:paraId="27E23726">
            <w:pPr>
              <w:widowControl/>
              <w:spacing w:line="360" w:lineRule="auto"/>
              <w:jc w:val="center"/>
              <w:rPr>
                <w:rFonts w:hint="default" w:ascii="宋体" w:hAnsi="宋体" w:cs="宋体"/>
                <w:color w:val="auto"/>
                <w:spacing w:val="15"/>
                <w:kern w:val="0"/>
                <w:szCs w:val="21"/>
                <w:shd w:val="clear" w:color="auto" w:fill="FFFFFF"/>
                <w:lang w:val="en-US" w:eastAsia="zh-CN"/>
              </w:rPr>
            </w:pPr>
            <w:r>
              <w:rPr>
                <w:rFonts w:hint="eastAsia" w:ascii="宋体" w:hAnsi="宋体" w:cs="宋体"/>
                <w:b/>
                <w:bCs/>
                <w:color w:val="auto"/>
                <w:spacing w:val="15"/>
                <w:kern w:val="0"/>
                <w:szCs w:val="21"/>
                <w:shd w:val="clear" w:color="auto" w:fill="FFFFFF"/>
                <w:lang w:val="en-US" w:eastAsia="zh-CN"/>
              </w:rPr>
              <w:t>价格部分</w:t>
            </w:r>
          </w:p>
        </w:tc>
        <w:tc>
          <w:tcPr>
            <w:tcW w:w="1087" w:type="dxa"/>
            <w:noWrap w:val="0"/>
            <w:vAlign w:val="center"/>
          </w:tcPr>
          <w:p w14:paraId="4F9A4584">
            <w:pPr>
              <w:jc w:val="center"/>
              <w:rPr>
                <w:rFonts w:hint="eastAsia"/>
                <w:color w:val="auto"/>
                <w:szCs w:val="21"/>
                <w:highlight w:val="none"/>
              </w:rPr>
            </w:pPr>
            <w:r>
              <w:rPr>
                <w:rFonts w:hint="eastAsia" w:ascii="宋体" w:hAnsi="宋体" w:eastAsia="宋体" w:cs="宋体"/>
                <w:color w:val="auto"/>
                <w:szCs w:val="21"/>
              </w:rPr>
              <w:t>响应报价</w:t>
            </w:r>
          </w:p>
        </w:tc>
        <w:tc>
          <w:tcPr>
            <w:tcW w:w="6443" w:type="dxa"/>
            <w:noWrap w:val="0"/>
            <w:vAlign w:val="top"/>
          </w:tcPr>
          <w:p w14:paraId="42C9F010">
            <w:pPr>
              <w:pStyle w:val="11"/>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响应报价得分＝（评审基准价/响应报价）×价格分值</w:t>
            </w:r>
          </w:p>
          <w:p w14:paraId="1C478E48">
            <w:pPr>
              <w:pStyle w:val="11"/>
              <w:keepNext w:val="0"/>
              <w:keepLines w:val="0"/>
              <w:widowControl/>
              <w:suppressLineNumbers w:val="0"/>
              <w:spacing w:before="0" w:beforeAutospacing="0" w:after="0" w:afterAutospacing="0" w:line="216" w:lineRule="auto"/>
              <w:ind w:left="0" w:right="0" w:firstLine="0" w:firstLineChars="0"/>
              <w:rPr>
                <w:rFonts w:hint="eastAsia"/>
                <w:color w:val="auto"/>
                <w:lang w:val="en-US" w:eastAsia="zh-CN"/>
              </w:rPr>
            </w:pPr>
            <w:r>
              <w:rPr>
                <w:rFonts w:hint="eastAsia" w:ascii="宋体" w:hAnsi="宋体" w:eastAsia="宋体" w:cs="宋体"/>
                <w:bCs/>
                <w:color w:val="000000"/>
                <w:sz w:val="21"/>
                <w:szCs w:val="21"/>
                <w:lang w:val="zh-CN"/>
              </w:rPr>
              <w:t>（注：满足采购文件要求且响应价格最低的响应报价为评审基准价。最低报价不是成交的唯一依据。）</w:t>
            </w:r>
          </w:p>
        </w:tc>
        <w:tc>
          <w:tcPr>
            <w:tcW w:w="809" w:type="dxa"/>
            <w:noWrap w:val="0"/>
            <w:vAlign w:val="center"/>
          </w:tcPr>
          <w:p w14:paraId="534C6514">
            <w:pPr>
              <w:spacing w:line="360" w:lineRule="auto"/>
              <w:jc w:val="center"/>
              <w:rPr>
                <w:rFonts w:hint="default" w:ascii="宋体" w:hAnsi="宋体" w:cs="宋体"/>
                <w:color w:val="auto"/>
                <w:szCs w:val="21"/>
                <w:highlight w:val="none"/>
                <w:lang w:val="en-US" w:eastAsia="zh-CN"/>
              </w:rPr>
            </w:pPr>
            <w:r>
              <w:rPr>
                <w:rFonts w:hint="eastAsia" w:cs="Times New Roman"/>
                <w:lang w:val="en-US" w:eastAsia="zh-CN"/>
              </w:rPr>
              <w:t>3</w:t>
            </w:r>
            <w:r>
              <w:rPr>
                <w:rFonts w:hint="eastAsia" w:ascii="Times New Roman" w:hAnsi="Times New Roman" w:eastAsia="宋体" w:cs="Times New Roman"/>
                <w:lang w:val="en-US" w:eastAsia="zh-CN"/>
              </w:rPr>
              <w:t>0</w:t>
            </w:r>
            <w:r>
              <w:rPr>
                <w:rFonts w:hint="eastAsia" w:ascii="宋体" w:hAnsi="宋体" w:cs="宋体"/>
                <w:color w:val="auto"/>
                <w:szCs w:val="21"/>
                <w:highlight w:val="none"/>
                <w:lang w:val="en-US" w:eastAsia="zh-CN"/>
              </w:rPr>
              <w:t>分</w:t>
            </w:r>
          </w:p>
        </w:tc>
      </w:tr>
      <w:tr w14:paraId="638C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6" w:type="dxa"/>
            <w:gridSpan w:val="3"/>
            <w:noWrap w:val="0"/>
            <w:vAlign w:val="center"/>
          </w:tcPr>
          <w:p w14:paraId="7FF07BD5">
            <w:pPr>
              <w:spacing w:line="360" w:lineRule="auto"/>
              <w:jc w:val="center"/>
              <w:rPr>
                <w:rFonts w:ascii="宋体" w:hAnsi="宋体"/>
                <w:color w:val="auto"/>
                <w:szCs w:val="21"/>
              </w:rPr>
            </w:pPr>
            <w:r>
              <w:rPr>
                <w:rFonts w:hint="eastAsia" w:ascii="宋体" w:hAnsi="宋体"/>
                <w:color w:val="auto"/>
                <w:szCs w:val="21"/>
              </w:rPr>
              <w:t>合计</w:t>
            </w:r>
          </w:p>
        </w:tc>
        <w:tc>
          <w:tcPr>
            <w:tcW w:w="809" w:type="dxa"/>
            <w:noWrap w:val="0"/>
            <w:vAlign w:val="center"/>
          </w:tcPr>
          <w:p w14:paraId="46E224E5">
            <w:pPr>
              <w:spacing w:line="360" w:lineRule="auto"/>
              <w:jc w:val="center"/>
              <w:rPr>
                <w:rFonts w:hint="eastAsia" w:ascii="宋体" w:hAnsi="宋体" w:eastAsia="宋体"/>
                <w:color w:val="auto"/>
                <w:lang w:eastAsia="zh-CN"/>
              </w:rPr>
            </w:pPr>
            <w:r>
              <w:rPr>
                <w:rFonts w:hint="eastAsia" w:ascii="Times New Roman" w:hAnsi="Times New Roman" w:eastAsia="宋体" w:cs="Times New Roman"/>
                <w:lang w:val="en-US" w:eastAsia="zh-CN"/>
              </w:rPr>
              <w:t>100</w:t>
            </w:r>
            <w:r>
              <w:rPr>
                <w:rFonts w:hint="eastAsia" w:ascii="宋体" w:hAnsi="宋体"/>
                <w:color w:val="auto"/>
                <w:lang w:eastAsia="zh-CN"/>
              </w:rPr>
              <w:t>分</w:t>
            </w:r>
          </w:p>
        </w:tc>
      </w:tr>
      <w:bookmarkEnd w:id="0"/>
    </w:tbl>
    <w:p w14:paraId="301BB82A">
      <w:pPr>
        <w:spacing w:line="360" w:lineRule="auto"/>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E46AD2"/>
    <w:rsid w:val="00EB1C0E"/>
    <w:rsid w:val="0116312F"/>
    <w:rsid w:val="022632F0"/>
    <w:rsid w:val="03267819"/>
    <w:rsid w:val="045D1075"/>
    <w:rsid w:val="05BD6377"/>
    <w:rsid w:val="06E72E78"/>
    <w:rsid w:val="077B0190"/>
    <w:rsid w:val="07AB423D"/>
    <w:rsid w:val="07F53FC7"/>
    <w:rsid w:val="085C484A"/>
    <w:rsid w:val="08CD207F"/>
    <w:rsid w:val="09570229"/>
    <w:rsid w:val="09CF031F"/>
    <w:rsid w:val="0A3E104C"/>
    <w:rsid w:val="0A621193"/>
    <w:rsid w:val="0AA35A8D"/>
    <w:rsid w:val="0AC27E84"/>
    <w:rsid w:val="0ADF6709"/>
    <w:rsid w:val="0B031FF8"/>
    <w:rsid w:val="0B2A7D51"/>
    <w:rsid w:val="0B330D82"/>
    <w:rsid w:val="0B5252E0"/>
    <w:rsid w:val="0B5915B2"/>
    <w:rsid w:val="0BF63EFD"/>
    <w:rsid w:val="0C262BE2"/>
    <w:rsid w:val="0C344DB1"/>
    <w:rsid w:val="0C871385"/>
    <w:rsid w:val="0C8F77BA"/>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5396F94"/>
    <w:rsid w:val="16012AC5"/>
    <w:rsid w:val="16AA0397"/>
    <w:rsid w:val="16B167CC"/>
    <w:rsid w:val="170610F8"/>
    <w:rsid w:val="17070B85"/>
    <w:rsid w:val="172211AC"/>
    <w:rsid w:val="18664ECD"/>
    <w:rsid w:val="198164B4"/>
    <w:rsid w:val="1A710F7F"/>
    <w:rsid w:val="1B8F3211"/>
    <w:rsid w:val="1CA90EA4"/>
    <w:rsid w:val="1CB17D58"/>
    <w:rsid w:val="1CEB5018"/>
    <w:rsid w:val="1D090252"/>
    <w:rsid w:val="1D4F1A4B"/>
    <w:rsid w:val="2000702C"/>
    <w:rsid w:val="20531559"/>
    <w:rsid w:val="20E47C7B"/>
    <w:rsid w:val="21251678"/>
    <w:rsid w:val="21507B40"/>
    <w:rsid w:val="21636166"/>
    <w:rsid w:val="2182320C"/>
    <w:rsid w:val="21B73ED8"/>
    <w:rsid w:val="22291947"/>
    <w:rsid w:val="22596E88"/>
    <w:rsid w:val="22F524FB"/>
    <w:rsid w:val="230B0532"/>
    <w:rsid w:val="2323226F"/>
    <w:rsid w:val="23234A89"/>
    <w:rsid w:val="23955CDE"/>
    <w:rsid w:val="23E83B9F"/>
    <w:rsid w:val="24406F1A"/>
    <w:rsid w:val="24791DF7"/>
    <w:rsid w:val="25A11649"/>
    <w:rsid w:val="25A8494F"/>
    <w:rsid w:val="25CD5C03"/>
    <w:rsid w:val="27B91B08"/>
    <w:rsid w:val="27EA6359"/>
    <w:rsid w:val="29CC4423"/>
    <w:rsid w:val="29D67FA4"/>
    <w:rsid w:val="2A2B739C"/>
    <w:rsid w:val="2A432D46"/>
    <w:rsid w:val="2A7169DD"/>
    <w:rsid w:val="2A9F7BB6"/>
    <w:rsid w:val="2ACD0453"/>
    <w:rsid w:val="2AEF13BE"/>
    <w:rsid w:val="2D0F545C"/>
    <w:rsid w:val="2D216834"/>
    <w:rsid w:val="2DB84096"/>
    <w:rsid w:val="2E3B05C3"/>
    <w:rsid w:val="2EAB0AAB"/>
    <w:rsid w:val="2F1E2C53"/>
    <w:rsid w:val="300915AF"/>
    <w:rsid w:val="304C1E1A"/>
    <w:rsid w:val="30D140CD"/>
    <w:rsid w:val="31BC4D7D"/>
    <w:rsid w:val="32B85545"/>
    <w:rsid w:val="32FC4A8D"/>
    <w:rsid w:val="32FC6616"/>
    <w:rsid w:val="330557AD"/>
    <w:rsid w:val="33A672FD"/>
    <w:rsid w:val="34403A44"/>
    <w:rsid w:val="346534DC"/>
    <w:rsid w:val="347E456C"/>
    <w:rsid w:val="352761F5"/>
    <w:rsid w:val="35EA1EB9"/>
    <w:rsid w:val="364D069A"/>
    <w:rsid w:val="36CD5A73"/>
    <w:rsid w:val="37AD6244"/>
    <w:rsid w:val="37C568B0"/>
    <w:rsid w:val="380A3FE7"/>
    <w:rsid w:val="381454F7"/>
    <w:rsid w:val="38370059"/>
    <w:rsid w:val="391159AF"/>
    <w:rsid w:val="3A1A6AE5"/>
    <w:rsid w:val="3A2636DC"/>
    <w:rsid w:val="3ABB3E24"/>
    <w:rsid w:val="3BC136BC"/>
    <w:rsid w:val="3BDE4E43"/>
    <w:rsid w:val="3C2E0CC5"/>
    <w:rsid w:val="3CE33BBF"/>
    <w:rsid w:val="3DB2047D"/>
    <w:rsid w:val="3E141CB2"/>
    <w:rsid w:val="3E570EC6"/>
    <w:rsid w:val="3F283A52"/>
    <w:rsid w:val="3F596265"/>
    <w:rsid w:val="3F6D1374"/>
    <w:rsid w:val="4024246B"/>
    <w:rsid w:val="40607ABC"/>
    <w:rsid w:val="40640ABA"/>
    <w:rsid w:val="413A60AB"/>
    <w:rsid w:val="43C8770C"/>
    <w:rsid w:val="45AC718B"/>
    <w:rsid w:val="45ED50AE"/>
    <w:rsid w:val="45F95539"/>
    <w:rsid w:val="469E110E"/>
    <w:rsid w:val="479C6D8B"/>
    <w:rsid w:val="48364026"/>
    <w:rsid w:val="488241D3"/>
    <w:rsid w:val="49D62A28"/>
    <w:rsid w:val="4A9C1907"/>
    <w:rsid w:val="4AF97CB6"/>
    <w:rsid w:val="4B6C4CC7"/>
    <w:rsid w:val="4BCB40E3"/>
    <w:rsid w:val="4BE5617B"/>
    <w:rsid w:val="4CA330E7"/>
    <w:rsid w:val="4CB07713"/>
    <w:rsid w:val="4CCD0706"/>
    <w:rsid w:val="4CF5766A"/>
    <w:rsid w:val="4CF87DD7"/>
    <w:rsid w:val="4DE84AD8"/>
    <w:rsid w:val="4E70527E"/>
    <w:rsid w:val="4E9B4F76"/>
    <w:rsid w:val="4EA10947"/>
    <w:rsid w:val="4F700B2E"/>
    <w:rsid w:val="51120D76"/>
    <w:rsid w:val="51D10F25"/>
    <w:rsid w:val="526206FA"/>
    <w:rsid w:val="528E29ED"/>
    <w:rsid w:val="52901F11"/>
    <w:rsid w:val="529B480F"/>
    <w:rsid w:val="52F83F51"/>
    <w:rsid w:val="530C74BB"/>
    <w:rsid w:val="53121B8E"/>
    <w:rsid w:val="53C47D96"/>
    <w:rsid w:val="54B6171E"/>
    <w:rsid w:val="55706356"/>
    <w:rsid w:val="55D30AF4"/>
    <w:rsid w:val="565F4ABA"/>
    <w:rsid w:val="568961D0"/>
    <w:rsid w:val="5733709E"/>
    <w:rsid w:val="574A05B2"/>
    <w:rsid w:val="574A1CB5"/>
    <w:rsid w:val="579059CE"/>
    <w:rsid w:val="57C55E8A"/>
    <w:rsid w:val="57F66416"/>
    <w:rsid w:val="58937570"/>
    <w:rsid w:val="58DF2F7C"/>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C23ABB"/>
    <w:rsid w:val="5ECC67C9"/>
    <w:rsid w:val="5F075202"/>
    <w:rsid w:val="5F571ABE"/>
    <w:rsid w:val="5FA31F5D"/>
    <w:rsid w:val="5FF852C4"/>
    <w:rsid w:val="608D6F8C"/>
    <w:rsid w:val="60A54AAB"/>
    <w:rsid w:val="60B06A3A"/>
    <w:rsid w:val="60C8402D"/>
    <w:rsid w:val="616C4593"/>
    <w:rsid w:val="62031A89"/>
    <w:rsid w:val="62061579"/>
    <w:rsid w:val="621C6FEF"/>
    <w:rsid w:val="62E775FD"/>
    <w:rsid w:val="62EA49F7"/>
    <w:rsid w:val="633B400F"/>
    <w:rsid w:val="63634DBE"/>
    <w:rsid w:val="645962D8"/>
    <w:rsid w:val="64942E0C"/>
    <w:rsid w:val="65683BA3"/>
    <w:rsid w:val="65D900EA"/>
    <w:rsid w:val="66A90E26"/>
    <w:rsid w:val="68332C5A"/>
    <w:rsid w:val="690B6A33"/>
    <w:rsid w:val="6ADF1456"/>
    <w:rsid w:val="6B0F149F"/>
    <w:rsid w:val="6B1D49E9"/>
    <w:rsid w:val="6C663340"/>
    <w:rsid w:val="6CCA5F8C"/>
    <w:rsid w:val="6D5D0BE7"/>
    <w:rsid w:val="6D61071B"/>
    <w:rsid w:val="6D9863E0"/>
    <w:rsid w:val="6E42305D"/>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87D81"/>
    <w:rsid w:val="72CD743C"/>
    <w:rsid w:val="735A02FF"/>
    <w:rsid w:val="73644F94"/>
    <w:rsid w:val="739E1612"/>
    <w:rsid w:val="74F160B9"/>
    <w:rsid w:val="76790114"/>
    <w:rsid w:val="767A253F"/>
    <w:rsid w:val="76E23F0B"/>
    <w:rsid w:val="77D2097C"/>
    <w:rsid w:val="78281DF2"/>
    <w:rsid w:val="785C061A"/>
    <w:rsid w:val="78743289"/>
    <w:rsid w:val="7932248D"/>
    <w:rsid w:val="79366790"/>
    <w:rsid w:val="795D7670"/>
    <w:rsid w:val="79E077E8"/>
    <w:rsid w:val="7A416DDF"/>
    <w:rsid w:val="7A6D7F90"/>
    <w:rsid w:val="7A97325F"/>
    <w:rsid w:val="7BBC35D3"/>
    <w:rsid w:val="7C023E77"/>
    <w:rsid w:val="7C232FFC"/>
    <w:rsid w:val="7C8415C1"/>
    <w:rsid w:val="7DDD71DA"/>
    <w:rsid w:val="7E114FDF"/>
    <w:rsid w:val="7E171E3C"/>
    <w:rsid w:val="7E3E26F6"/>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内容"/>
    <w:basedOn w:val="3"/>
    <w:qFormat/>
    <w:uiPriority w:val="0"/>
    <w:pPr>
      <w:widowControl w:val="0"/>
      <w:tabs>
        <w:tab w:val="decimal" w:pos="315"/>
        <w:tab w:val="left" w:pos="630"/>
      </w:tabs>
      <w:spacing w:beforeLines="50" w:beforeAutospacing="0" w:afterLines="50" w:afterAutospacing="0" w:line="360" w:lineRule="auto"/>
      <w:ind w:firstLine="480" w:firstLineChars="200"/>
      <w:jc w:val="both"/>
    </w:pPr>
    <w:rPr>
      <w:rFonts w:ascii="Times New Roman" w:hAnsi="Times New Roman" w:cs="Times New Roman"/>
      <w:b w:val="0"/>
      <w:bCs w:val="0"/>
      <w:sz w:val="24"/>
      <w:szCs w:val="20"/>
    </w:rPr>
  </w:style>
  <w:style w:type="paragraph" w:customStyle="1" w:styleId="3">
    <w:name w:val="xl1789"/>
    <w:basedOn w:val="1"/>
    <w:qFormat/>
    <w:uiPriority w:val="0"/>
    <w:pPr>
      <w:widowControl/>
      <w:tabs>
        <w:tab w:val="decimal" w:pos="315"/>
        <w:tab w:val="left" w:pos="630"/>
      </w:tabs>
      <w:spacing w:before="100" w:beforeAutospacing="1" w:after="100" w:afterAutospacing="1"/>
      <w:jc w:val="center"/>
    </w:pPr>
    <w:rPr>
      <w:rFonts w:ascii="宋体" w:hAnsi="宋体" w:cs="宋体"/>
      <w:b/>
      <w:bCs/>
      <w:kern w:val="0"/>
      <w:sz w:val="36"/>
      <w:szCs w:val="36"/>
    </w:rPr>
  </w:style>
  <w:style w:type="paragraph" w:styleId="4">
    <w:name w:val="Normal Indent"/>
    <w:basedOn w:val="1"/>
    <w:qFormat/>
    <w:uiPriority w:val="0"/>
    <w:pPr>
      <w:widowControl w:val="0"/>
      <w:ind w:firstLine="420"/>
      <w:jc w:val="both"/>
    </w:pPr>
    <w:rPr>
      <w:kern w:val="2"/>
    </w:rPr>
  </w:style>
  <w:style w:type="paragraph" w:styleId="5">
    <w:name w:val="Body Text"/>
    <w:basedOn w:val="1"/>
    <w:next w:val="1"/>
    <w:qFormat/>
    <w:uiPriority w:val="0"/>
    <w:pPr>
      <w:spacing w:line="460" w:lineRule="exact"/>
    </w:pPr>
    <w:rPr>
      <w:rFonts w:ascii="宋体" w:hAnsi="宋体" w:eastAsia="宋体"/>
      <w:sz w:val="21"/>
    </w:rPr>
  </w:style>
  <w:style w:type="paragraph" w:styleId="6">
    <w:name w:val="toc 5"/>
    <w:basedOn w:val="1"/>
    <w:next w:val="1"/>
    <w:qFormat/>
    <w:uiPriority w:val="0"/>
    <w:pPr>
      <w:ind w:left="840"/>
      <w:jc w:val="left"/>
    </w:pPr>
    <w:rPr>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11">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896</Characters>
  <Lines>0</Lines>
  <Paragraphs>0</Paragraphs>
  <TotalTime>0</TotalTime>
  <ScaleCrop>false</ScaleCrop>
  <LinksUpToDate>false</LinksUpToDate>
  <CharactersWithSpaces>902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梁美婷</cp:lastModifiedBy>
  <cp:lastPrinted>2025-01-17T08:30:00Z</cp:lastPrinted>
  <dcterms:modified xsi:type="dcterms:W3CDTF">2025-01-17T09:11:34Z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B5F4F6DF7D924E4C8CBDA1EEFEC1EEA0_13</vt:lpwstr>
  </property>
</Properties>
</file>