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hint="eastAsia" w:asciiTheme="minorEastAsia" w:hAnsiTheme="minorEastAsia" w:eastAsiaTheme="minorEastAsia" w:cstheme="minorEastAsia"/>
          <w:b/>
          <w:sz w:val="32"/>
          <w:szCs w:val="36"/>
          <w:lang w:val="en-US" w:eastAsia="zh-CN"/>
        </w:rPr>
      </w:pPr>
      <w:r>
        <w:rPr>
          <w:rFonts w:hint="eastAsia" w:asciiTheme="minorEastAsia" w:hAnsiTheme="minorEastAsia" w:eastAsiaTheme="minorEastAsia" w:cstheme="minorEastAsia"/>
          <w:b/>
          <w:sz w:val="32"/>
          <w:szCs w:val="36"/>
          <w:lang w:eastAsia="zh-CN"/>
        </w:rPr>
        <w:t>附件</w:t>
      </w:r>
      <w:r>
        <w:rPr>
          <w:rFonts w:hint="eastAsia" w:asciiTheme="minorEastAsia" w:hAnsiTheme="minorEastAsia" w:eastAsiaTheme="minorEastAsia" w:cstheme="minorEastAsia"/>
          <w:b/>
          <w:sz w:val="32"/>
          <w:szCs w:val="36"/>
          <w:lang w:val="en-US" w:eastAsia="zh-CN"/>
        </w:rPr>
        <w:t>1：</w:t>
      </w:r>
    </w:p>
    <w:p>
      <w:pPr>
        <w:spacing w:line="480" w:lineRule="auto"/>
        <w:jc w:val="center"/>
        <w:rPr>
          <w:rFonts w:hint="eastAsia" w:asciiTheme="minorEastAsia" w:hAnsiTheme="minorEastAsia" w:eastAsiaTheme="minorEastAsia" w:cstheme="minorEastAsia"/>
          <w:b/>
          <w:sz w:val="32"/>
          <w:szCs w:val="36"/>
        </w:rPr>
      </w:pPr>
      <w:r>
        <w:rPr>
          <w:rFonts w:hint="eastAsia" w:asciiTheme="minorEastAsia" w:hAnsiTheme="minorEastAsia" w:eastAsiaTheme="minorEastAsia" w:cstheme="minorEastAsia"/>
          <w:b/>
          <w:sz w:val="32"/>
          <w:szCs w:val="36"/>
        </w:rPr>
        <w:t>用户需求书</w:t>
      </w:r>
    </w:p>
    <w:p>
      <w:pPr>
        <w:jc w:val="center"/>
        <w:rPr>
          <w:rFonts w:hint="eastAsia"/>
          <w:b/>
          <w:sz w:val="24"/>
          <w:szCs w:val="44"/>
        </w:rPr>
      </w:pPr>
    </w:p>
    <w:p>
      <w:pPr>
        <w:spacing w:line="480" w:lineRule="auto"/>
        <w:jc w:val="left"/>
        <w:rPr>
          <w:rFonts w:hint="eastAsia" w:eastAsia="宋体"/>
          <w:b w:val="0"/>
          <w:bCs/>
          <w:sz w:val="28"/>
          <w:szCs w:val="28"/>
          <w:lang w:eastAsia="zh-CN"/>
        </w:rPr>
      </w:pPr>
      <w:r>
        <w:rPr>
          <w:rFonts w:hint="eastAsia"/>
          <w:b/>
          <w:sz w:val="28"/>
          <w:szCs w:val="28"/>
          <w:lang w:eastAsia="zh-CN"/>
        </w:rPr>
        <w:t>一、</w:t>
      </w:r>
      <w:r>
        <w:rPr>
          <w:rFonts w:hint="eastAsia"/>
          <w:b/>
          <w:sz w:val="28"/>
          <w:szCs w:val="28"/>
        </w:rPr>
        <w:t>项目名称</w:t>
      </w:r>
      <w:r>
        <w:rPr>
          <w:rFonts w:hint="eastAsia"/>
          <w:b/>
          <w:sz w:val="28"/>
          <w:szCs w:val="28"/>
          <w:lang w:eastAsia="zh-CN"/>
        </w:rPr>
        <w:t>：</w:t>
      </w:r>
      <w:r>
        <w:rPr>
          <w:rFonts w:hint="eastAsia"/>
          <w:b w:val="0"/>
          <w:bCs/>
          <w:sz w:val="28"/>
          <w:szCs w:val="28"/>
          <w:lang w:eastAsia="zh-CN"/>
        </w:rPr>
        <w:t>中山市黄圃人民医院2025年度印刷服务项目</w:t>
      </w:r>
    </w:p>
    <w:p>
      <w:pPr>
        <w:spacing w:line="480" w:lineRule="auto"/>
        <w:jc w:val="left"/>
        <w:rPr>
          <w:rFonts w:hint="eastAsia" w:eastAsia="宋体"/>
          <w:b/>
          <w:sz w:val="28"/>
          <w:szCs w:val="28"/>
          <w:lang w:eastAsia="zh-CN"/>
        </w:rPr>
      </w:pPr>
      <w:r>
        <w:rPr>
          <w:rFonts w:hint="eastAsia"/>
          <w:b/>
          <w:sz w:val="28"/>
          <w:szCs w:val="28"/>
          <w:lang w:eastAsia="zh-CN"/>
        </w:rPr>
        <w:t>二、技术要求</w:t>
      </w:r>
    </w:p>
    <w:p>
      <w:pPr>
        <w:spacing w:line="360" w:lineRule="auto"/>
        <w:rPr>
          <w:rFonts w:hint="eastAsia"/>
          <w:b/>
          <w:sz w:val="28"/>
          <w:szCs w:val="28"/>
        </w:rPr>
      </w:pPr>
      <w:bookmarkStart w:id="0" w:name="_Toc37670350"/>
      <w:bookmarkStart w:id="1" w:name="文字29"/>
      <w:bookmarkStart w:id="2" w:name="_Toc49329250"/>
      <w:r>
        <w:rPr>
          <w:rFonts w:hint="eastAsia"/>
          <w:b/>
          <w:sz w:val="28"/>
          <w:szCs w:val="28"/>
          <w:lang w:val="en-US" w:eastAsia="zh-CN"/>
        </w:rPr>
        <w:t>1</w:t>
      </w:r>
      <w:r>
        <w:rPr>
          <w:rFonts w:hint="eastAsia"/>
          <w:b/>
          <w:sz w:val="28"/>
          <w:szCs w:val="28"/>
        </w:rPr>
        <w:t>.采购清单：</w:t>
      </w:r>
    </w:p>
    <w:tbl>
      <w:tblPr>
        <w:tblStyle w:val="17"/>
        <w:tblW w:w="10415" w:type="dxa"/>
        <w:tblInd w:w="-7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775"/>
        <w:gridCol w:w="1395"/>
        <w:gridCol w:w="1440"/>
        <w:gridCol w:w="2805"/>
        <w:gridCol w:w="645"/>
        <w:gridCol w:w="1005"/>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统一名称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源文件序号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2025年估用量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病历封面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250克双铜纸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44*31cm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按样本（10种颜色）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产妇中医体质辨识报告</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按样本，每本100张，双面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产妇中医体质辨识报告</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按样本，每本100张，单面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产科入院健康宣教表单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,单面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产科母婴交接表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,单面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产科手术知情同意书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,单面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产科知情同意书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,单面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出院缴费通知书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,单面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经阴道分娩器械敷料清点记录单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,单面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03-3/改269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母乳喂养支持组织随访登记卡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,单面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盆底功能检测报告</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,单面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03-7改333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盆底功能检查申请单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,单面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身份证、母亲指印、新生儿脚印粘贴单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,单面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胎盘处置知情同意书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,单面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糖尿病营养膳食指南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,单面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63改327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温馨提示（产科血糖监测）</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按样本，每本100张（双面）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新生儿疾病筛查知情告知书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医疗付款方式征询书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中山市新生儿听力筛查报告单知情同意书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住院病历评分表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入院信息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19*13cm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妇科子宫腔镜检查与手术知情同意书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（双面）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腹腔镜下子宫手术知情同意书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手术前（操作前）与家属谈话签字单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住院病历（辅助材料8页）</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按样本，每份8页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处方笺（附方）</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14.5*21cm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处方笺（精二）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14.5*21cm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处方笺（麻、精一）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14.5*21cm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急诊病人记录单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口腔科X线检查会诊单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21*14.5cm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口腔科正畸组病历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19*27cm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口腔科治疗知情同意书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26.5*19cm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口腔科种植组病历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19*27cm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CHA手术安全核查表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按样本，每本100张（双面）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04改310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手术麻醉收费单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62改309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病危（重）通知书 ICU</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18*21cm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病危（重）通知书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14.5*21cm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病区护理交班记录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按样本，每本200张，加封面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出入院病人登记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29.5*21cm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临床科室领血单（2联）</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无碳纸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13.5*15.5cm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按样本，每本50份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临床用血申请单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14.5*21cm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医疗废物外包袋警示标识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08改338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病理活体组织检查申请单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按样本，每本100张（双面）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电子肠镜检查预约单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电子内镜（胃/肠/胶囊/十二指肠/超声内镜等）检查申请单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按样本，每本100张（双面）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病假证明书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12.5*14.5cm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多次治疗预约证</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12.5*10cm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疾病诊断证明书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中信封</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120克牛皮纸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17.5*12.3cm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大信封</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120克牛皮纸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32.5*23cm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档案袋</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120克牛皮纸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22.8*3.3*30.5cm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肺热清解口服液标签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苦柏妇洁洗剂标签（方形）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苦柏妇洁洗剂药盒（冲洗瓶）</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350克单铜纸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16.5*10*11cm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按样本，纸箱包装400个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46/改307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天葵菌毒清颗粒药盒</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350克单铜纸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7.3*6.3*10cm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按样本，纸箱包装400个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65改331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银菊病毒清口服液标签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08改346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纸箱（小）</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瓦坑纸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42.5*32*13cm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护理安全知情同意书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检验报告粘贴单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开具麻醉药品、第一类精神药品处方登记专册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，加封面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胃管入标识粘贴卡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有创性诊断、治疗操作（包括内、外科）同意书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体检报告信封</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300克白卡纸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327*245MM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按样本，开窗65*97MM，贴0.05透明PVC,封口位贴双面胶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病理科玻片标签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2.5*2.2cm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按样本(小张）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出生医学证明首次签发登记表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科负责人防火检查记录（周查）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按样本，每本16张（双面） ，加封面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供应室自检单（大）</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21*26cm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供应室自检单（小）</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21*13cm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每日消防安全检查情况表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按样本，每本16张（双面） ，加封面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42/229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皮测黄疸指数与血清胆红素结果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103/改268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医疗服务告知通知书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按样本，每本100张（双面）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02-7、02-8，77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麻醉药品、第一类精神药品入库、进出专库（柜登记专册）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按样本、每本50张，加封面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妇科流产手术同意书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妇科入院健康宣教书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按样本，每本100张（双面）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妇科手术知情同意书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按样本，每本100张（双面）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宫腔镜预约登记本（妇科）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按样本，每本100张，加封面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口服米索前列醇告知书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盆底康复注意事项（妇科）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茵栀苓口服液标签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茵栀苓口服液药盒</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350克单铜纸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15*9*2.7cm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按样本，纸箱包装400个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肺热清解口服液药盒</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350克单铜纸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15*9*2.7cm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按样本，纸箱包装400个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加蒲生化妇康颗粒药盒</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350克单铜纸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7.3*6.3*10cm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按样本，纸箱包装400个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扶仁止泻口服液标签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08改346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呋喃西林溶液标签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按样本，10小张/张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X光、CT、MR、检查申请单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院内会诊单（急诊科）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新生儿床头卡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250克卡纸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消毒供应室承压类设备技术档案记录表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供应室消毒供应室外来器械及植入物灭菌监测记录表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医患双方不收和不送“红包”协议书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II级产前超声检查患者知情同意书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05改265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I级产前超声检查患者知情同意书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06改266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病历复印申请书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17.5*17.5cm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病区护理交班记录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按样本，每本31张，加封面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病区护理交班记录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按样本，每本60张，加封面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产科婴儿心形挂牌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300克双铜纸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7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肠腹宁颗粒药盒</w:t>
            </w:r>
          </w:p>
        </w:tc>
        <w:tc>
          <w:tcPr>
            <w:tcW w:w="13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350克单铜纸</w:t>
            </w:r>
          </w:p>
        </w:tc>
        <w:tc>
          <w:tcPr>
            <w:tcW w:w="14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7.3*6.3*10cm</w:t>
            </w:r>
          </w:p>
        </w:tc>
        <w:tc>
          <w:tcPr>
            <w:tcW w:w="28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按样本，纸箱包装400个</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15更改 305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电加热锅炉运行日志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儿童保健手册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牛皮纸封面，70克双胶纸内页</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14.5*21cm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膏方标签（空白）</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膏方标签（说明）</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大型检查贵重药品高值（自费、植入性）耗材使用知情告知书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97/改271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内部管理保安员巡查记录表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牛皮纸封面，70克双胶纸内页</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21*14.5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按样本，每本40张（双面）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入住重症监护室（ICU）告知书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中山市新生儿疾病免费筛查知情同意书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药品材料出库汇总表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无碳复写纸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19.5*11.2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按样本，两联上白下红，50份/本，胶左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暂收单汇总登记表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无碳复写纸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按样本，两联上白下红，50份/本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银菊病毒清口服液药盒</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350克单铜纸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15*9*2.7cm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按样本，纸箱包装400个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英花伤宁口服液药盒</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350克单铜纸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16.8*5.8*10cm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按样本，纸箱包装400个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药械出入库登记卡</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250克白板纸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14.5*21cm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天葵菌毒清颗粒礼品盒</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坑纸+卡纸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33*10.6*15.7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制剂物料单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消毒供应中心工作满意度调查表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按样本，每本100张（双面）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纸箱（大）</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瓦坑纸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43*35*20cm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扶仁止泻口服液药盒</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350克单铜纸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15*9*2.7cm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157g双铜纸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按样本，一折两页，彩刷,包设计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157g双铜纸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按样本，两折三页，彩刷,包设计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157g双铜纸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按样本，三折四页，彩刷,包设计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157g双铜</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21*14cm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按样本，全书16p，彩印，骑马钉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麻醉记录单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按样本，每本100张（双面），绿色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分娩镇痛知情同意书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按样本，每本100张（双面）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麻醉知情同意书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按样本，每本100张（单面）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中山市黄圃人民医院收款证明</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无碳纸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19.1*10cm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按样本，三联，每本50份，牛皮纸封面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新生儿安全责任书（产科）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产科出院告知书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150/改270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患者健康宣教表单(骨二科）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中心供氧运行记录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按样本，每本100张（双面），加封面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神经血液内科入院健康宣教书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按样本，每本100张（双面）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医院公务车出车登记表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按样本，每本100张（双面）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妇科口服药物流产告知书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妇科人流、药流预约流程（包括取环、上环）</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药物流产记录表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妇科药物流产后告知书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按样板、每本100张（双面）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妇科人流术后告知书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人流术病历及手术记录表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中山市黄圃人民医院舒适医疗麻醉知情同意书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按样本，每本100张（单面）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）镜清洗消毒登记本</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70克双胶纸+牛皮纸封面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按样本，每本100张，加封面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病区护理交班记录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按样本，每本100张，加封面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拔牙术后须知</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60克色书纸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黄圃人民医院血液透析记录单（改版）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196改339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取环登记本</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按样板、每份4页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上环登记本</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21*29.5cm </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按样板、每份4页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危险废物转移联单（上半月，下半月）</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19*26.7cm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无痛人流术病历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按样板、每份6页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药流病历（妇科）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21*29.5cm </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按样板、每份10页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预约单（口腔科）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60克色书纸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按样板、每本100张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取环术登记册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29.5*42cm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按样板、每本100张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上环术登记册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29.5*42cm </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按样板、每本100张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无痛人流术登记册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29.5*42cm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无痛药流术登记册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29.5*42cm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有痛人流术登记册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29.5*42cm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有痛药流术登记册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29.5*42cm </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按样板、每本100张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胸痛中心时间管理记录表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A4 </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按样本，每本100张（双面）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209/改241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病人申请退费凭（门诊部）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23*12.5cm </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 ,单面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ASPECT评分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mRS评分表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NIHSS评分量表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按样本，每本100张，双面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大型耗材告知同意书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急性脑梗死静脉溶栓治疗同意书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急诊临时医嘱</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拒绝或放弃医学治疗告知书(急诊)</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绿色通道化验单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218改302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脑血管介入治疗手术同意书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按样本，每本100张，双面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手术部位标记图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授权同意书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中山市黄圃人民医院卒中中心急性脑梗死血管内治疗时间控制表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中山市黄圃人民医院卒中中心绿色通道时间控制表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223改303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蛛网膜下腔出血的HUNT-HESS分级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盆底功能康复预约单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157克铜版纸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210*285,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值班医师交接班记录本</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按样本（100页/本） ，加封面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牙周龈下刮治及根面平整术知情同意书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,单面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妇科普查表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活血壮骨胶囊标签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养心复脉胶囊标签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英花伤宁口服液标签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参罗胶囊标签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308改346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利湿康肝胶囊标签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CRUSADE出血风险评估表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245改323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GRACE评分表-实用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21*29.5cm </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244改321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纯音测听报告</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按样本，每本100张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儿童口腔体检表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14.5*21cm </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发热门诊就诊患者留观告知书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14.5*21cm </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黄圃人民医院供应室器械物品回收登记表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按样本，每本100张，双面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黄圃人民医院溶栓筛查表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21*29.5cm </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急性心肌梗死溶栓治疗知情同意书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21*29.5cm </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按样本，每本100张，双面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急性胸痛患者终止治疗知情同意书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介入诊断及治疗知情同意书(双面）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21*29.5cm </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按样本，每本100张，双面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251改322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母乳喂养宣传手册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157克铜版纸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21*28.5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按样板，三折页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体检报告单及TST检测记录单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 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消毒供应室超大超重灭菌包检测结果记录表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胸痛时间管理表介入室</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原始单据粘贴单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按样板、每本100张 单面 单色印刷（墨蓝色）</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送健康惠群众单张（乳腺宣传）</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157克铜版纸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14.5*21cm,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按样本，A5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手术麻醉科麻醉药品、第一类精神药品专册记录表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按样本，每本100张，加封面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《出生医学证明》签发知情告知书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（上午）电子结肠镜检查服药方法及注意事项</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（下午）电子结肠镜检查服药方法及注意事项</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内镜下治疗知情同意书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按样本，每本100张，双面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中医体质辨识报告量表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按样本，每本200张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慢性创面治疗（宣传文件）</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157g双铜纸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按样本，两折三页，彩刷，包设计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预防梅毒母婴传播药物服用及采取相关措施知情同意书（保密）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介入冠脉+支架植入手术收费单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介入治疗、造影护理记录单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神经外科介入收费单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急性心梗救治手册（宣传册子）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157克铜版纸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按样本，12页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PAC人流病历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按样本，每份11页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微生物登记本</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A4纸大小</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单面印刷，每本100页，加封面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微生物工作记录表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A5纸大小</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单面印刷，每本100页，加封面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血培养记录表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A4纸大小</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单面印刷，每本100页，加封面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广东省非免疫规划疫苗知情同意书（人用狂犬疫苗）双面</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企业使用易制毒化学品出入库登记表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牛皮纸封面150g，70克双胶纸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按样本，每本50张（单面）内页要编号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企业人员进出易制毒化学品仓库情况登记表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牛皮纸封面150g，70克双胶纸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按样本，每本50张（单面）内页要编号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企业易制毒化学品使用情况登记表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牛皮纸封面150g，70克双胶纸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按样本，每本50张（单面）内页要编号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骨科熏洗液1号标签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 小卷芯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骨科熏洗液2号标签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 小卷芯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骨科熏洗液3号标签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 小卷芯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活络液标签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 小卷芯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四黄液标签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 小卷芯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苦连肤康方标签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 小卷芯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消肿止痛液标签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 小卷芯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蛇蚁方标签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 小卷芯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医疗废物标签（热敏）</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热敏打印纸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按样板，60张/卷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体检报告表信封</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100克牛皮纸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按样本，开天窗粘薄膜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有效期标识500*1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自粘布标签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80*17mm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按样板，500张/卷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管道标识500*1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自粘布标签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80*17mm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按样板，500张/卷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引流袋标识500*1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自粘布标签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80*17mm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按样板，500张/卷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胃管标识500*1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自粘布标签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80*17mm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按样板，500张/卷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中心静脉管标识500*1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自粘布标签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80*17mm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按样板，500张/卷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尿管标识500*1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自粘布标签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80*17mm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按样板，500张/卷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临床科室医院感染管理工作记录本</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封面彩色，内页80克双胶单黑印，胶装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医技、门诊医院感染管理工作记录本</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封面彩色，内页80克双胶单黑印，胶装</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各类表单A4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各类表单A4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按样本，每本100张，双面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各类表单A5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14.5*21cm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按样本，每本100张，单面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麻醉药品、第一类精神药品处方登记专册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按样本，每本65页，单页印刷，加牛皮纸封面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麻醉药品、第一类精神药品专账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按样本，每本65页，单页印刷，加牛皮纸封面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药品类易制毒化学品处方登记专册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按样本，每本65页，单页印刷，加牛皮纸封面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药品类易制毒化学品专账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按样本，每本65页，单页印刷，加牛皮纸封面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广东省医疗机构门（急）诊通用病历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通用版24P，单黑印，加封面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影像光盘纸壳套</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450克白卡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成品22.5*31.5cm,展开尺寸45.0*44.5cm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按样板，双面彩印，过亚膜，异形啤、粘</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影像胶片袋</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OPP35/PE85复合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成品尺寸420*509*厚12C</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按样板，三边封，8色印刷，含模具费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中医体质辨识量表 儿童组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70克双胶纸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按样板，6页,双面打印,左钉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中山市黄圃人民医院收费处医疗业务收入现金缴款单</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无碳纸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按样本，三联，每本50份，牛皮纸封面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新入职护士规范化培训手册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按样板，约110页，封面彩色，双面单黑印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出院患者回访记录表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按样本，每本100张（双面），加封面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门诊随访登记表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按样本，每份2页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心力衰竭患者档案管理表格</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70克双胶纸</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21*29.5cm</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按样本，每份4页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体检科套餐手册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157双铜彩印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全书36P，活页（每页打孔）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bl>
    <w:p>
      <w:pPr>
        <w:spacing w:line="360" w:lineRule="auto"/>
        <w:ind w:firstLine="420" w:firstLineChars="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1、数量为年度估用量，按实际送货量结算，分批次下单。</w:t>
      </w:r>
    </w:p>
    <w:p>
      <w:pPr>
        <w:spacing w:line="360" w:lineRule="auto"/>
        <w:ind w:firstLine="420" w:firstLineChars="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2、采购清单内容根据医院需求可能会发生变更。</w:t>
      </w:r>
    </w:p>
    <w:p>
      <w:pPr>
        <w:widowControl/>
        <w:tabs>
          <w:tab w:val="left" w:pos="636"/>
        </w:tabs>
        <w:spacing w:line="460" w:lineRule="exact"/>
        <w:ind w:firstLine="420" w:firstLineChars="200"/>
        <w:jc w:val="left"/>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3、成交供应商供货时，不在以上清单内的货物按照相同材料、尺寸及规格的货物报价进行结算。</w:t>
      </w:r>
    </w:p>
    <w:p>
      <w:pPr>
        <w:widowControl/>
        <w:tabs>
          <w:tab w:val="left" w:pos="636"/>
        </w:tabs>
        <w:spacing w:line="460" w:lineRule="exact"/>
        <w:ind w:firstLine="420" w:firstLineChars="200"/>
        <w:jc w:val="left"/>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4、成交供应商供货时，不在以上清单内的货物且无相同材料、无相同尺寸及无相同规格的货物，由双方协商决定按市场价报价进行结算。</w:t>
      </w:r>
    </w:p>
    <w:bookmarkEnd w:id="0"/>
    <w:bookmarkEnd w:id="1"/>
    <w:bookmarkEnd w:id="2"/>
    <w:p>
      <w:pPr>
        <w:widowControl/>
        <w:autoSpaceDE w:val="0"/>
        <w:autoSpaceDN w:val="0"/>
        <w:spacing w:line="460" w:lineRule="exact"/>
        <w:ind w:firstLine="420" w:firstLineChars="0"/>
        <w:jc w:val="left"/>
        <w:textAlignment w:val="bottom"/>
        <w:rPr>
          <w:rFonts w:hint="eastAsia" w:asciiTheme="minorEastAsia" w:hAnsiTheme="minorEastAsia" w:eastAsiaTheme="minorEastAsia" w:cstheme="minorEastAsia"/>
        </w:rPr>
      </w:pPr>
      <w:r>
        <w:rPr>
          <w:rFonts w:hint="eastAsia" w:ascii="宋体" w:hAnsi="宋体" w:eastAsia="宋体" w:cs="Times New Roman"/>
          <w:b/>
          <w:sz w:val="24"/>
          <w:lang w:val="en-US" w:eastAsia="zh-CN"/>
        </w:rPr>
        <w:t>二、商务要求</w:t>
      </w:r>
    </w:p>
    <w:tbl>
      <w:tblPr>
        <w:tblStyle w:val="17"/>
        <w:tblW w:w="92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60"/>
        <w:gridCol w:w="7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1" w:hRule="atLeast"/>
        </w:trPr>
        <w:tc>
          <w:tcPr>
            <w:tcW w:w="1860" w:type="dxa"/>
            <w:vAlign w:val="center"/>
          </w:tcPr>
          <w:p>
            <w:pPr>
              <w:pStyle w:val="32"/>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cs="Tahoma"/>
                <w:b/>
                <w:bCs/>
                <w:color w:val="auto"/>
                <w:kern w:val="28"/>
                <w:sz w:val="21"/>
                <w:szCs w:val="21"/>
                <w:highlight w:val="none"/>
              </w:rPr>
            </w:pPr>
            <w:r>
              <w:rPr>
                <w:rFonts w:hint="eastAsia" w:cs="Tahoma"/>
                <w:b/>
                <w:bCs/>
                <w:color w:val="auto"/>
                <w:kern w:val="28"/>
                <w:sz w:val="21"/>
                <w:szCs w:val="21"/>
                <w:highlight w:val="none"/>
              </w:rPr>
              <w:t>合同履行地点</w:t>
            </w:r>
          </w:p>
        </w:tc>
        <w:tc>
          <w:tcPr>
            <w:tcW w:w="7402" w:type="dxa"/>
            <w:vAlign w:val="top"/>
          </w:tcPr>
          <w:p>
            <w:pPr>
              <w:pStyle w:val="32"/>
              <w:keepNext w:val="0"/>
              <w:keepLines w:val="0"/>
              <w:pageBreakBefore w:val="0"/>
              <w:suppressLineNumbers w:val="0"/>
              <w:kinsoku/>
              <w:overflowPunct/>
              <w:bidi w:val="0"/>
              <w:spacing w:before="0" w:beforeAutospacing="0" w:after="0" w:afterAutospacing="0" w:line="360" w:lineRule="auto"/>
              <w:ind w:left="0" w:leftChars="0" w:right="0" w:rightChars="0"/>
              <w:jc w:val="left"/>
              <w:rPr>
                <w:rFonts w:hint="eastAsia" w:cs="Tahoma"/>
                <w:color w:val="auto"/>
                <w:kern w:val="28"/>
                <w:sz w:val="21"/>
                <w:szCs w:val="21"/>
                <w:highlight w:val="none"/>
                <w:lang w:eastAsia="zh-CN"/>
              </w:rPr>
            </w:pPr>
            <w:r>
              <w:rPr>
                <w:rFonts w:hint="eastAsia" w:cs="Tahoma"/>
                <w:color w:val="auto"/>
                <w:kern w:val="28"/>
                <w:sz w:val="21"/>
                <w:szCs w:val="21"/>
                <w:highlight w:val="none"/>
                <w:lang w:eastAsia="zh-CN"/>
              </w:rPr>
              <w:t>采购人指定地点。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1" w:hRule="atLeast"/>
        </w:trPr>
        <w:tc>
          <w:tcPr>
            <w:tcW w:w="1860" w:type="dxa"/>
            <w:vAlign w:val="center"/>
          </w:tcPr>
          <w:p>
            <w:pPr>
              <w:pStyle w:val="32"/>
              <w:pageBreakBefore w:val="0"/>
              <w:kinsoku/>
              <w:overflowPunct/>
              <w:bidi w:val="0"/>
              <w:spacing w:line="360" w:lineRule="auto"/>
              <w:jc w:val="center"/>
              <w:rPr>
                <w:rFonts w:hint="eastAsia" w:cs="Tahoma"/>
                <w:b/>
                <w:bCs/>
                <w:color w:val="auto"/>
                <w:kern w:val="28"/>
                <w:sz w:val="21"/>
                <w:szCs w:val="21"/>
                <w:highlight w:val="none"/>
              </w:rPr>
            </w:pPr>
            <w:r>
              <w:rPr>
                <w:rFonts w:hint="eastAsia" w:cs="Tahoma"/>
                <w:b/>
                <w:bCs/>
                <w:color w:val="auto"/>
                <w:kern w:val="28"/>
                <w:sz w:val="21"/>
                <w:szCs w:val="21"/>
                <w:highlight w:val="none"/>
                <w:lang w:eastAsia="zh-CN"/>
              </w:rPr>
              <w:t>响应</w:t>
            </w:r>
            <w:r>
              <w:rPr>
                <w:rFonts w:hint="eastAsia" w:cs="Tahoma"/>
                <w:b/>
                <w:bCs/>
                <w:color w:val="auto"/>
                <w:kern w:val="28"/>
                <w:sz w:val="21"/>
                <w:szCs w:val="21"/>
                <w:highlight w:val="none"/>
              </w:rPr>
              <w:t>有效期</w:t>
            </w:r>
          </w:p>
        </w:tc>
        <w:tc>
          <w:tcPr>
            <w:tcW w:w="7402" w:type="dxa"/>
            <w:vAlign w:val="top"/>
          </w:tcPr>
          <w:p>
            <w:pPr>
              <w:pStyle w:val="32"/>
              <w:pageBreakBefore w:val="0"/>
              <w:kinsoku/>
              <w:overflowPunct/>
              <w:bidi w:val="0"/>
              <w:spacing w:line="360" w:lineRule="auto"/>
              <w:jc w:val="left"/>
              <w:rPr>
                <w:rFonts w:hint="eastAsia" w:cs="Tahoma"/>
                <w:color w:val="auto"/>
                <w:kern w:val="28"/>
                <w:sz w:val="21"/>
                <w:szCs w:val="21"/>
                <w:highlight w:val="none"/>
                <w:lang w:eastAsia="zh-CN"/>
              </w:rPr>
            </w:pPr>
            <w:r>
              <w:rPr>
                <w:rFonts w:hint="eastAsia" w:cs="Tahoma"/>
                <w:color w:val="auto"/>
                <w:kern w:val="28"/>
                <w:sz w:val="21"/>
                <w:szCs w:val="21"/>
                <w:highlight w:val="none"/>
                <w:lang w:eastAsia="zh-CN"/>
              </w:rPr>
              <w:t>从提交响应文件的截止之日起90日历天。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1" w:hRule="atLeast"/>
        </w:trPr>
        <w:tc>
          <w:tcPr>
            <w:tcW w:w="1860" w:type="dxa"/>
            <w:vAlign w:val="center"/>
          </w:tcPr>
          <w:p>
            <w:pPr>
              <w:pStyle w:val="32"/>
              <w:pageBreakBefore w:val="0"/>
              <w:kinsoku/>
              <w:overflowPunct/>
              <w:bidi w:val="0"/>
              <w:spacing w:line="360" w:lineRule="auto"/>
              <w:jc w:val="center"/>
              <w:rPr>
                <w:rFonts w:hint="eastAsia" w:eastAsia="宋体" w:cs="Tahoma"/>
                <w:b/>
                <w:bCs/>
                <w:color w:val="auto"/>
                <w:kern w:val="28"/>
                <w:sz w:val="21"/>
                <w:szCs w:val="21"/>
                <w:highlight w:val="none"/>
                <w:lang w:val="en-US" w:eastAsia="zh-CN"/>
              </w:rPr>
            </w:pPr>
            <w:r>
              <w:rPr>
                <w:rFonts w:hint="eastAsia" w:cs="Tahoma"/>
                <w:b/>
                <w:bCs/>
                <w:color w:val="auto"/>
                <w:kern w:val="28"/>
                <w:sz w:val="21"/>
                <w:szCs w:val="21"/>
                <w:highlight w:val="none"/>
                <w:lang w:val="en-US" w:eastAsia="zh-CN"/>
              </w:rPr>
              <w:t>服务期限</w:t>
            </w:r>
          </w:p>
        </w:tc>
        <w:tc>
          <w:tcPr>
            <w:tcW w:w="7402" w:type="dxa"/>
            <w:vAlign w:val="top"/>
          </w:tcPr>
          <w:p>
            <w:pPr>
              <w:pStyle w:val="32"/>
              <w:pageBreakBefore w:val="0"/>
              <w:kinsoku/>
              <w:overflowPunct/>
              <w:bidi w:val="0"/>
              <w:spacing w:line="360" w:lineRule="auto"/>
              <w:jc w:val="left"/>
              <w:rPr>
                <w:rFonts w:hint="eastAsia" w:cs="Tahoma"/>
                <w:color w:val="auto"/>
                <w:kern w:val="28"/>
                <w:sz w:val="21"/>
                <w:szCs w:val="21"/>
                <w:highlight w:val="none"/>
                <w:lang w:eastAsia="zh-CN"/>
              </w:rPr>
            </w:pPr>
            <w:r>
              <w:rPr>
                <w:rFonts w:hint="eastAsia" w:cs="Tahoma"/>
                <w:color w:val="auto"/>
                <w:kern w:val="28"/>
                <w:sz w:val="21"/>
                <w:szCs w:val="21"/>
                <w:highlight w:val="none"/>
                <w:lang w:eastAsia="zh-CN"/>
              </w:rPr>
              <w:t>一年（具体起止时间以合同签订为准）或结算金额累计达到本项目采购预算金额时合同提前终止，以先到者为准。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07" w:hRule="atLeast"/>
        </w:trPr>
        <w:tc>
          <w:tcPr>
            <w:tcW w:w="1860" w:type="dxa"/>
            <w:vAlign w:val="center"/>
          </w:tcPr>
          <w:p>
            <w:pPr>
              <w:pStyle w:val="32"/>
              <w:pageBreakBefore w:val="0"/>
              <w:kinsoku/>
              <w:overflowPunct/>
              <w:bidi w:val="0"/>
              <w:spacing w:line="360" w:lineRule="auto"/>
              <w:jc w:val="center"/>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b/>
                <w:bCs/>
                <w:color w:val="000000"/>
                <w:kern w:val="28"/>
                <w:sz w:val="21"/>
                <w:szCs w:val="21"/>
                <w:highlight w:val="none"/>
                <w:lang w:val="en-US" w:eastAsia="zh-CN" w:bidi="ar-SA"/>
              </w:rPr>
              <w:t>付款方式</w:t>
            </w:r>
          </w:p>
        </w:tc>
        <w:tc>
          <w:tcPr>
            <w:tcW w:w="7402" w:type="dxa"/>
            <w:vAlign w:val="top"/>
          </w:tcPr>
          <w:p>
            <w:pPr>
              <w:pStyle w:val="33"/>
              <w:pageBreakBefore w:val="0"/>
              <w:kinsoku/>
              <w:overflowPunct/>
              <w:bidi w:val="0"/>
              <w:spacing w:line="360" w:lineRule="auto"/>
              <w:ind w:left="0" w:leftChars="0" w:firstLine="0" w:firstLineChars="0"/>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本合同的款项以人民币</w:t>
            </w:r>
            <w:r>
              <w:rPr>
                <w:rFonts w:hint="eastAsia" w:ascii="宋体" w:cs="Tahoma"/>
                <w:color w:val="000000"/>
                <w:kern w:val="28"/>
                <w:sz w:val="21"/>
                <w:szCs w:val="21"/>
                <w:highlight w:val="none"/>
                <w:lang w:val="en-US" w:eastAsia="zh-CN" w:bidi="ar-SA"/>
              </w:rPr>
              <w:t>银行转账</w:t>
            </w:r>
            <w:r>
              <w:rPr>
                <w:rFonts w:hint="eastAsia" w:ascii="宋体" w:hAnsi="Times New Roman" w:eastAsia="宋体" w:cs="Tahoma"/>
                <w:color w:val="000000"/>
                <w:kern w:val="28"/>
                <w:sz w:val="21"/>
                <w:szCs w:val="21"/>
                <w:highlight w:val="none"/>
                <w:lang w:val="en-US" w:eastAsia="zh-CN" w:bidi="ar-SA"/>
              </w:rPr>
              <w:t>方式支付；</w:t>
            </w:r>
          </w:p>
          <w:p>
            <w:pPr>
              <w:pStyle w:val="33"/>
              <w:pageBreakBefore w:val="0"/>
              <w:kinsoku/>
              <w:overflowPunct/>
              <w:bidi w:val="0"/>
              <w:spacing w:line="360" w:lineRule="auto"/>
              <w:ind w:left="0" w:leftChars="0" w:firstLine="0" w:firstLineChars="0"/>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1、</w:t>
            </w:r>
            <w:r>
              <w:rPr>
                <w:rFonts w:hint="eastAsia" w:ascii="宋体" w:cs="Tahoma"/>
                <w:color w:val="auto"/>
                <w:kern w:val="28"/>
                <w:sz w:val="21"/>
                <w:szCs w:val="21"/>
                <w:highlight w:val="none"/>
                <w:lang w:val="en-US" w:eastAsia="zh-CN" w:bidi="ar-SA"/>
              </w:rPr>
              <w:t>每批次的采购</w:t>
            </w:r>
            <w:r>
              <w:rPr>
                <w:rFonts w:hint="eastAsia" w:ascii="宋体" w:cs="Tahoma"/>
                <w:color w:val="000000"/>
                <w:kern w:val="28"/>
                <w:sz w:val="21"/>
                <w:szCs w:val="21"/>
                <w:highlight w:val="none"/>
                <w:lang w:val="en-US" w:eastAsia="zh-CN" w:bidi="ar-SA"/>
              </w:rPr>
              <w:t>，</w:t>
            </w:r>
            <w:r>
              <w:rPr>
                <w:rFonts w:hint="eastAsia" w:ascii="宋体" w:hAnsi="Times New Roman" w:eastAsia="宋体" w:cs="Tahoma"/>
                <w:color w:val="000000"/>
                <w:kern w:val="28"/>
                <w:sz w:val="21"/>
                <w:szCs w:val="21"/>
                <w:highlight w:val="none"/>
                <w:lang w:val="en-US" w:eastAsia="zh-CN" w:bidi="ar-SA"/>
              </w:rPr>
              <w:t>经验收合格，采购人在收到成交供应商的款项发票申请资料且核对无误后，方可进行支付，从收到发票当天算起60日内支付款项。</w:t>
            </w:r>
          </w:p>
          <w:p>
            <w:pPr>
              <w:pStyle w:val="33"/>
              <w:pageBreakBefore w:val="0"/>
              <w:kinsoku/>
              <w:overflowPunct/>
              <w:bidi w:val="0"/>
              <w:spacing w:line="360" w:lineRule="auto"/>
              <w:ind w:left="0" w:leftChars="0" w:firstLine="0" w:firstLineChars="0"/>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2、</w:t>
            </w:r>
            <w:r>
              <w:rPr>
                <w:rFonts w:hint="eastAsia" w:ascii="宋体" w:hAnsi="Times New Roman" w:eastAsia="宋体" w:cs="Tahoma"/>
                <w:color w:val="000000"/>
                <w:kern w:val="28"/>
                <w:sz w:val="21"/>
                <w:szCs w:val="21"/>
                <w:highlight w:val="none"/>
                <w:lang w:val="en-GB" w:eastAsia="zh-CN" w:bidi="ar-SA"/>
              </w:rPr>
              <w:t>因采购人使用的是财政资金，按政府审批流程支付，若审批延迟则相应货款到账延迟，且不视为采购人违约。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44" w:hRule="atLeast"/>
        </w:trPr>
        <w:tc>
          <w:tcPr>
            <w:tcW w:w="1860" w:type="dxa"/>
            <w:vAlign w:val="center"/>
          </w:tcPr>
          <w:p>
            <w:pPr>
              <w:pStyle w:val="32"/>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ascii="宋体" w:hAnsi="Times New Roman" w:eastAsia="宋体" w:cs="Tahoma"/>
                <w:b/>
                <w:bCs/>
                <w:color w:val="000000"/>
                <w:kern w:val="28"/>
                <w:sz w:val="21"/>
                <w:szCs w:val="21"/>
                <w:highlight w:val="none"/>
                <w:lang w:val="en-US" w:eastAsia="zh-CN" w:bidi="ar-SA"/>
              </w:rPr>
            </w:pPr>
            <w:r>
              <w:rPr>
                <w:rFonts w:hint="eastAsia" w:cs="Tahoma"/>
                <w:b/>
                <w:bCs/>
                <w:color w:val="000000"/>
                <w:kern w:val="28"/>
                <w:sz w:val="21"/>
                <w:szCs w:val="21"/>
                <w:highlight w:val="none"/>
              </w:rPr>
              <w:t>服务要求</w:t>
            </w:r>
          </w:p>
        </w:tc>
        <w:tc>
          <w:tcPr>
            <w:tcW w:w="7402" w:type="dxa"/>
            <w:vAlign w:val="top"/>
          </w:tcPr>
          <w:p>
            <w:pPr>
              <w:pStyle w:val="33"/>
              <w:pageBreakBefore w:val="0"/>
              <w:kinsoku/>
              <w:overflowPunct/>
              <w:bidi w:val="0"/>
              <w:spacing w:line="360" w:lineRule="auto"/>
              <w:ind w:left="0" w:leftChars="0" w:firstLine="0" w:firstLineChars="0"/>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1、如货物出现质量问题成交供应商无偿更换。</w:t>
            </w:r>
          </w:p>
          <w:p>
            <w:pPr>
              <w:pStyle w:val="33"/>
              <w:pageBreakBefore w:val="0"/>
              <w:kinsoku/>
              <w:overflowPunct/>
              <w:bidi w:val="0"/>
              <w:spacing w:line="360" w:lineRule="auto"/>
              <w:ind w:left="0" w:leftChars="0" w:firstLine="0" w:firstLineChars="0"/>
              <w:rPr>
                <w:rFonts w:hint="default"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2、</w:t>
            </w:r>
            <w:r>
              <w:rPr>
                <w:rFonts w:hint="eastAsia" w:ascii="宋体" w:cs="Tahoma"/>
                <w:color w:val="000000"/>
                <w:kern w:val="28"/>
                <w:sz w:val="21"/>
                <w:szCs w:val="21"/>
                <w:highlight w:val="none"/>
                <w:lang w:val="en-US" w:eastAsia="zh-CN" w:bidi="ar-SA"/>
              </w:rPr>
              <w:t>印刷字迹要清晰，套印准确，不能出现重页、缺页、掉页、倒装等问题，对采购人提供的文字和图片资料严格保密，不得外泄，否则需要承担相关法律责任。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3" w:hRule="atLeast"/>
        </w:trPr>
        <w:tc>
          <w:tcPr>
            <w:tcW w:w="1860" w:type="dxa"/>
            <w:vAlign w:val="center"/>
          </w:tcPr>
          <w:p>
            <w:pPr>
              <w:pStyle w:val="32"/>
              <w:pageBreakBefore w:val="0"/>
              <w:kinsoku/>
              <w:overflowPunct/>
              <w:bidi w:val="0"/>
              <w:spacing w:line="360" w:lineRule="auto"/>
              <w:jc w:val="center"/>
              <w:rPr>
                <w:rFonts w:hint="eastAsia" w:ascii="宋体" w:hAnsi="Times New Roman" w:eastAsia="宋体" w:cs="Tahoma"/>
                <w:b/>
                <w:bCs/>
                <w:color w:val="000000"/>
                <w:kern w:val="28"/>
                <w:sz w:val="21"/>
                <w:szCs w:val="21"/>
                <w:highlight w:val="none"/>
                <w:lang w:val="en-US" w:eastAsia="zh-CN" w:bidi="ar-SA"/>
              </w:rPr>
            </w:pPr>
            <w:r>
              <w:rPr>
                <w:rFonts w:hint="eastAsia" w:cs="Tahoma"/>
                <w:b/>
                <w:bCs/>
                <w:color w:val="000000"/>
                <w:kern w:val="28"/>
                <w:sz w:val="21"/>
                <w:szCs w:val="21"/>
                <w:highlight w:val="none"/>
                <w:lang w:val="en-US" w:eastAsia="zh-CN"/>
              </w:rPr>
              <w:t>供货要求</w:t>
            </w:r>
          </w:p>
        </w:tc>
        <w:tc>
          <w:tcPr>
            <w:tcW w:w="7402" w:type="dxa"/>
            <w:vAlign w:val="top"/>
          </w:tcPr>
          <w:p>
            <w:pPr>
              <w:pStyle w:val="33"/>
              <w:pageBreakBefore w:val="0"/>
              <w:kinsoku/>
              <w:overflowPunct/>
              <w:bidi w:val="0"/>
              <w:spacing w:line="360" w:lineRule="auto"/>
              <w:ind w:left="0" w:leftChars="0" w:firstLine="0" w:firstLineChars="0"/>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1、供货期限：自分批次的《广东政府采购智慧云平台电子卖场印刷服务定点采购合同》签订之日起</w:t>
            </w:r>
            <w:r>
              <w:rPr>
                <w:rFonts w:hint="eastAsia" w:ascii="宋体" w:cs="Tahoma"/>
                <w:color w:val="000000"/>
                <w:kern w:val="28"/>
                <w:sz w:val="21"/>
                <w:szCs w:val="21"/>
                <w:highlight w:val="none"/>
                <w:lang w:val="en-US" w:eastAsia="zh-CN" w:bidi="ar-SA"/>
              </w:rPr>
              <w:t>7</w:t>
            </w:r>
            <w:r>
              <w:rPr>
                <w:rFonts w:hint="eastAsia" w:ascii="宋体" w:hAnsi="Times New Roman" w:eastAsia="宋体" w:cs="Tahoma"/>
                <w:color w:val="000000"/>
                <w:kern w:val="28"/>
                <w:sz w:val="21"/>
                <w:szCs w:val="21"/>
                <w:highlight w:val="none"/>
                <w:lang w:val="en-US" w:eastAsia="zh-CN" w:bidi="ar-SA"/>
              </w:rPr>
              <w:t>天内完成供货。</w:t>
            </w:r>
          </w:p>
          <w:p>
            <w:pPr>
              <w:pStyle w:val="33"/>
              <w:pageBreakBefore w:val="0"/>
              <w:kinsoku/>
              <w:overflowPunct/>
              <w:bidi w:val="0"/>
              <w:spacing w:line="360" w:lineRule="auto"/>
              <w:ind w:left="0" w:leftChars="0" w:firstLine="0" w:firstLineChars="0"/>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2、交货地点：供应商接到采购人通知后按采购人要求的时间将货物统一运送至中山市黄圃人民医院指定地点进行签收。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1" w:hRule="atLeast"/>
        </w:trPr>
        <w:tc>
          <w:tcPr>
            <w:tcW w:w="1860" w:type="dxa"/>
            <w:vAlign w:val="center"/>
          </w:tcPr>
          <w:p>
            <w:pPr>
              <w:pStyle w:val="32"/>
              <w:pageBreakBefore w:val="0"/>
              <w:kinsoku/>
              <w:overflowPunct/>
              <w:bidi w:val="0"/>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履约保证金</w:t>
            </w:r>
          </w:p>
        </w:tc>
        <w:tc>
          <w:tcPr>
            <w:tcW w:w="7402" w:type="dxa"/>
            <w:vAlign w:val="top"/>
          </w:tcPr>
          <w:p>
            <w:pPr>
              <w:pStyle w:val="32"/>
              <w:pageBreakBefore w:val="0"/>
              <w:kinsoku/>
              <w:overflowPunct/>
              <w:bidi w:val="0"/>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不收取。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1" w:hRule="atLeast"/>
        </w:trPr>
        <w:tc>
          <w:tcPr>
            <w:tcW w:w="1860" w:type="dxa"/>
            <w:vAlign w:val="center"/>
          </w:tcPr>
          <w:p>
            <w:pPr>
              <w:pageBreakBefore w:val="0"/>
              <w:widowControl/>
              <w:tabs>
                <w:tab w:val="left" w:pos="636"/>
              </w:tabs>
              <w:kinsoku/>
              <w:overflowPunct/>
              <w:autoSpaceDE w:val="0"/>
              <w:autoSpaceDN w:val="0"/>
              <w:bidi w:val="0"/>
              <w:spacing w:line="360" w:lineRule="auto"/>
              <w:jc w:val="center"/>
              <w:textAlignment w:val="bottom"/>
              <w:rPr>
                <w:rFonts w:hint="eastAsia" w:cs="Tahoma"/>
                <w:b/>
                <w:bCs/>
                <w:color w:val="000000"/>
                <w:kern w:val="28"/>
                <w:sz w:val="21"/>
                <w:szCs w:val="21"/>
                <w:highlight w:val="none"/>
              </w:rPr>
            </w:pPr>
            <w:r>
              <w:rPr>
                <w:rFonts w:hint="eastAsia" w:ascii="宋体" w:hAnsi="宋体" w:eastAsia="宋体" w:cs="宋体"/>
                <w:b/>
                <w:bCs/>
                <w:color w:val="auto"/>
                <w:sz w:val="21"/>
                <w:szCs w:val="21"/>
                <w:highlight w:val="none"/>
                <w:lang w:val="en-US" w:eastAsia="zh-CN"/>
              </w:rPr>
              <w:t>报价说明</w:t>
            </w:r>
          </w:p>
        </w:tc>
        <w:tc>
          <w:tcPr>
            <w:tcW w:w="7402" w:type="dxa"/>
            <w:vAlign w:val="top"/>
          </w:tcPr>
          <w:p>
            <w:pPr>
              <w:widowControl/>
              <w:spacing w:line="360" w:lineRule="auto"/>
              <w:jc w:val="left"/>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1、供应商所报价格在合同执行期间是固定不变的，不得以任何理由予以变更。供应商响应报价不是固定价的响应文件将作为非实质性响应性响应而予以拒绝。</w:t>
            </w:r>
          </w:p>
          <w:p>
            <w:pPr>
              <w:widowControl/>
              <w:spacing w:line="360" w:lineRule="auto"/>
              <w:jc w:val="left"/>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2、供应商的报价为包含本项目所需的一切费用，包括（但不限于）：工作人员工资、食宿、福利、服装、通信工具、社保、医疗、保险、运输、可预料的风险和措施、税费等所有费用。供应商漏报或不报，采购人将视为该漏报或不报部分的费用已包括在已报的报价中而不予支付。</w:t>
            </w:r>
          </w:p>
          <w:p>
            <w:pPr>
              <w:widowControl/>
              <w:spacing w:line="360" w:lineRule="auto"/>
              <w:jc w:val="left"/>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3、供应商必须对所有内容进行响应，成交</w:t>
            </w:r>
            <w:r>
              <w:rPr>
                <w:rFonts w:hint="eastAsia" w:ascii="宋体" w:cs="Tahoma"/>
                <w:color w:val="000000"/>
                <w:kern w:val="28"/>
                <w:sz w:val="21"/>
                <w:szCs w:val="21"/>
                <w:highlight w:val="none"/>
                <w:lang w:val="en-US" w:eastAsia="zh-CN" w:bidi="ar-SA"/>
              </w:rPr>
              <w:t>供应商</w:t>
            </w:r>
            <w:r>
              <w:rPr>
                <w:rFonts w:hint="eastAsia" w:ascii="宋体" w:hAnsi="Times New Roman" w:eastAsia="宋体" w:cs="Tahoma"/>
                <w:color w:val="000000"/>
                <w:kern w:val="28"/>
                <w:sz w:val="21"/>
                <w:szCs w:val="21"/>
                <w:highlight w:val="none"/>
                <w:lang w:val="en-US" w:eastAsia="zh-CN" w:bidi="ar-SA"/>
              </w:rPr>
              <w:t>不得再以任何方式转包或分包本项目。</w:t>
            </w:r>
          </w:p>
          <w:p>
            <w:pPr>
              <w:widowControl/>
              <w:spacing w:line="360" w:lineRule="auto"/>
              <w:jc w:val="left"/>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4、报价均应包含所有的税费。</w:t>
            </w:r>
          </w:p>
          <w:p>
            <w:pPr>
              <w:widowControl/>
              <w:spacing w:line="360" w:lineRule="auto"/>
              <w:jc w:val="left"/>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5、报价需按报价表（详见附件2）报价，如名称、材料、尺寸、规格与报价表不一致，则视为无效报价。</w:t>
            </w:r>
          </w:p>
          <w:p>
            <w:pPr>
              <w:widowControl/>
              <w:spacing w:line="360" w:lineRule="auto"/>
              <w:jc w:val="left"/>
              <w:rPr>
                <w:rFonts w:hint="eastAsia" w:cs="Tahoma"/>
                <w:color w:val="000000"/>
                <w:kern w:val="28"/>
                <w:sz w:val="21"/>
                <w:szCs w:val="21"/>
                <w:highlight w:val="none"/>
                <w:lang w:eastAsia="zh-CN"/>
              </w:rPr>
            </w:pPr>
            <w:r>
              <w:rPr>
                <w:rFonts w:hint="eastAsia" w:ascii="宋体" w:hAnsi="Times New Roman" w:eastAsia="宋体" w:cs="Tahoma"/>
                <w:color w:val="000000"/>
                <w:kern w:val="28"/>
                <w:sz w:val="21"/>
                <w:szCs w:val="21"/>
                <w:highlight w:val="none"/>
                <w:lang w:val="en-US" w:eastAsia="zh-CN" w:bidi="ar-SA"/>
              </w:rPr>
              <w:t>6、</w:t>
            </w:r>
            <w:r>
              <w:rPr>
                <w:rFonts w:hint="eastAsia" w:ascii="宋体" w:hAnsi="Times New Roman" w:eastAsia="宋体" w:cs="Tahoma"/>
                <w:color w:val="auto"/>
                <w:kern w:val="28"/>
                <w:sz w:val="21"/>
                <w:szCs w:val="21"/>
                <w:highlight w:val="none"/>
                <w:lang w:val="en-US" w:eastAsia="zh-CN" w:bidi="ar-SA"/>
              </w:rPr>
              <w:t>本项目需现场议价，供应商需针对一次报价进行折扣率报价，报价仅作为评审价格，不作为合同价，实际以其单价最终报价进行结算。合同单价=单价报价</w:t>
            </w:r>
            <w:r>
              <w:rPr>
                <w:rFonts w:hint="eastAsia" w:ascii="宋体" w:cs="Tahoma"/>
                <w:color w:val="auto"/>
                <w:kern w:val="28"/>
                <w:sz w:val="21"/>
                <w:szCs w:val="21"/>
                <w:highlight w:val="none"/>
                <w:lang w:val="en-US" w:eastAsia="zh-CN" w:bidi="ar-SA"/>
              </w:rPr>
              <w:t>×</w:t>
            </w:r>
            <w:r>
              <w:rPr>
                <w:rFonts w:hint="eastAsia" w:ascii="宋体" w:hAnsi="Times New Roman" w:eastAsia="宋体" w:cs="Tahoma"/>
                <w:color w:val="auto"/>
                <w:kern w:val="28"/>
                <w:sz w:val="21"/>
                <w:szCs w:val="21"/>
                <w:highlight w:val="none"/>
                <w:lang w:val="en-US" w:eastAsia="zh-CN" w:bidi="ar-SA"/>
              </w:rPr>
              <w:t>折扣率。</w:t>
            </w:r>
            <w:r>
              <w:rPr>
                <w:rFonts w:hint="eastAsia" w:ascii="宋体" w:cs="Tahoma"/>
                <w:color w:val="auto"/>
                <w:kern w:val="28"/>
                <w:sz w:val="21"/>
                <w:szCs w:val="21"/>
                <w:highlight w:val="none"/>
                <w:lang w:val="en-US" w:eastAsia="zh-CN" w:bidi="ar-SA"/>
              </w:rPr>
              <w:t>供应商</w:t>
            </w:r>
            <w:r>
              <w:rPr>
                <w:rFonts w:hint="eastAsia" w:ascii="宋体" w:hAnsi="Times New Roman" w:eastAsia="宋体" w:cs="Tahoma"/>
                <w:color w:val="auto"/>
                <w:kern w:val="28"/>
                <w:sz w:val="21"/>
                <w:szCs w:val="21"/>
                <w:highlight w:val="none"/>
                <w:lang w:val="en-US" w:eastAsia="zh-CN" w:bidi="ar-SA"/>
              </w:rPr>
              <w:t>所报折扣率不超过100%，不能为负数，否则按无效</w:t>
            </w:r>
            <w:r>
              <w:rPr>
                <w:rFonts w:hint="eastAsia" w:ascii="宋体" w:cs="Tahoma"/>
                <w:color w:val="auto"/>
                <w:kern w:val="28"/>
                <w:sz w:val="21"/>
                <w:szCs w:val="21"/>
                <w:highlight w:val="none"/>
                <w:lang w:val="en-US" w:eastAsia="zh-CN" w:bidi="ar-SA"/>
              </w:rPr>
              <w:t>报价</w:t>
            </w:r>
            <w:r>
              <w:rPr>
                <w:rFonts w:hint="eastAsia" w:ascii="宋体" w:hAnsi="Times New Roman" w:eastAsia="宋体" w:cs="Tahoma"/>
                <w:color w:val="auto"/>
                <w:kern w:val="28"/>
                <w:sz w:val="21"/>
                <w:szCs w:val="21"/>
                <w:highlight w:val="none"/>
                <w:lang w:val="en-US" w:eastAsia="zh-CN" w:bidi="ar-SA"/>
              </w:rPr>
              <w:t>处理。</w:t>
            </w:r>
          </w:p>
        </w:tc>
      </w:tr>
    </w:tbl>
    <w:p>
      <w:pPr>
        <w:widowControl/>
        <w:autoSpaceDE w:val="0"/>
        <w:autoSpaceDN w:val="0"/>
        <w:spacing w:line="460" w:lineRule="exact"/>
        <w:ind w:firstLine="420" w:firstLineChars="200"/>
        <w:jc w:val="left"/>
        <w:textAlignment w:val="bottom"/>
        <w:rPr>
          <w:rFonts w:hint="default" w:ascii="宋体" w:hAnsi="宋体" w:eastAsia="宋体" w:cs="Times New Roman"/>
          <w:szCs w:val="21"/>
          <w:lang w:val="en-US" w:eastAsia="zh-CN"/>
        </w:rPr>
      </w:pPr>
    </w:p>
    <w:p>
      <w:pPr>
        <w:widowControl/>
        <w:autoSpaceDE w:val="0"/>
        <w:autoSpaceDN w:val="0"/>
        <w:spacing w:line="460" w:lineRule="exact"/>
        <w:ind w:firstLine="420" w:firstLineChars="200"/>
        <w:jc w:val="left"/>
        <w:textAlignment w:val="bottom"/>
        <w:rPr>
          <w:rFonts w:hint="default" w:ascii="宋体" w:hAnsi="宋体" w:eastAsia="宋体" w:cs="Times New Roman"/>
          <w:szCs w:val="21"/>
          <w:lang w:val="en-US" w:eastAsia="zh-CN"/>
        </w:rPr>
      </w:pPr>
    </w:p>
    <w:p>
      <w:pPr>
        <w:spacing w:line="360" w:lineRule="auto"/>
        <w:ind w:firstLine="420" w:firstLineChars="0"/>
        <w:rPr>
          <w:rFonts w:hint="eastAsia"/>
        </w:rPr>
      </w:pP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4"/>
      </w:rPr>
    </w:pPr>
    <w:r>
      <w:fldChar w:fldCharType="begin"/>
    </w:r>
    <w:r>
      <w:rPr>
        <w:rStyle w:val="14"/>
      </w:rPr>
      <w:instrText xml:space="preserve">PAGE  </w:instrTex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B0C09"/>
    <w:multiLevelType w:val="multilevel"/>
    <w:tmpl w:val="620B0C09"/>
    <w:lvl w:ilvl="0" w:tentative="0">
      <w:start w:val="1"/>
      <w:numFmt w:val="chineseCountingThousand"/>
      <w:pStyle w:val="3"/>
      <w:suff w:val="space"/>
      <w:lvlText w:val="第%1部分"/>
      <w:lvlJc w:val="left"/>
      <w:pPr>
        <w:ind w:left="425" w:hanging="425"/>
      </w:pPr>
      <w:rPr>
        <w:rFonts w:hint="eastAsia" w:ascii="黑体" w:eastAsia="黑体"/>
        <w:sz w:val="44"/>
      </w:rPr>
    </w:lvl>
    <w:lvl w:ilvl="1" w:tentative="0">
      <w:start w:val="1"/>
      <w:numFmt w:val="decimal"/>
      <w:isLgl/>
      <w:suff w:val="space"/>
      <w:lvlText w:val="%1.%2"/>
      <w:lvlJc w:val="left"/>
      <w:pPr>
        <w:ind w:left="0" w:firstLine="0"/>
      </w:pPr>
      <w:rPr>
        <w:rFonts w:hint="eastAsia" w:ascii="黑体" w:eastAsia="黑体"/>
        <w:sz w:val="28"/>
      </w:rPr>
    </w:lvl>
    <w:lvl w:ilvl="2" w:tentative="0">
      <w:start w:val="1"/>
      <w:numFmt w:val="decimal"/>
      <w:isLgl/>
      <w:suff w:val="space"/>
      <w:lvlText w:val="%1.%2.%3"/>
      <w:lvlJc w:val="left"/>
      <w:pPr>
        <w:ind w:left="0" w:firstLine="0"/>
      </w:pPr>
      <w:rPr>
        <w:rFonts w:hint="eastAsia" w:ascii="宋体" w:eastAsia="宋体"/>
        <w:sz w:val="21"/>
        <w:szCs w:val="21"/>
      </w:rPr>
    </w:lvl>
    <w:lvl w:ilvl="3" w:tentative="0">
      <w:start w:val="1"/>
      <w:numFmt w:val="decimal"/>
      <w:pStyle w:val="6"/>
      <w:isLgl/>
      <w:suff w:val="space"/>
      <w:lvlText w:val="%4."/>
      <w:lvlJc w:val="left"/>
      <w:pPr>
        <w:ind w:left="0" w:firstLine="680"/>
      </w:pPr>
      <w:rPr>
        <w:rFonts w:hint="eastAsia" w:ascii="宋体" w:eastAsia="宋体"/>
        <w:sz w:val="28"/>
      </w:rPr>
    </w:lvl>
    <w:lvl w:ilvl="4" w:tentative="0">
      <w:start w:val="1"/>
      <w:numFmt w:val="decimal"/>
      <w:pStyle w:val="7"/>
      <w:isLgl/>
      <w:suff w:val="space"/>
      <w:lvlText w:val="&lt;%5&gt;"/>
      <w:lvlJc w:val="left"/>
      <w:pPr>
        <w:ind w:left="0" w:firstLine="567"/>
      </w:pPr>
      <w:rPr>
        <w:rFonts w:hint="eastAsia" w:ascii="宋体" w:eastAsia="宋体"/>
        <w:sz w:val="28"/>
      </w:rPr>
    </w:lvl>
    <w:lvl w:ilvl="5" w:tentative="0">
      <w:start w:val="1"/>
      <w:numFmt w:val="upperLetter"/>
      <w:pStyle w:val="8"/>
      <w:suff w:val="space"/>
      <w:lvlText w:val="%6."/>
      <w:lvlJc w:val="left"/>
      <w:pPr>
        <w:ind w:left="0" w:firstLine="680"/>
      </w:pPr>
      <w:rPr>
        <w:rFonts w:hint="eastAsia" w:ascii="宋体" w:eastAsia="宋体"/>
        <w:sz w:val="28"/>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CCA"/>
    <w:rsid w:val="000367C1"/>
    <w:rsid w:val="00041595"/>
    <w:rsid w:val="00050AB9"/>
    <w:rsid w:val="00053368"/>
    <w:rsid w:val="00054DA2"/>
    <w:rsid w:val="000568E5"/>
    <w:rsid w:val="000702E4"/>
    <w:rsid w:val="00086DE4"/>
    <w:rsid w:val="000A5F0D"/>
    <w:rsid w:val="000C49BC"/>
    <w:rsid w:val="000C504E"/>
    <w:rsid w:val="000E09F8"/>
    <w:rsid w:val="000E2EBC"/>
    <w:rsid w:val="000F7684"/>
    <w:rsid w:val="00116B37"/>
    <w:rsid w:val="00131B42"/>
    <w:rsid w:val="0013349C"/>
    <w:rsid w:val="00140C6E"/>
    <w:rsid w:val="00150876"/>
    <w:rsid w:val="0015219A"/>
    <w:rsid w:val="001529DA"/>
    <w:rsid w:val="00172760"/>
    <w:rsid w:val="00184D21"/>
    <w:rsid w:val="001A78AD"/>
    <w:rsid w:val="001B007F"/>
    <w:rsid w:val="001C65C3"/>
    <w:rsid w:val="001E1FB5"/>
    <w:rsid w:val="001E7FA6"/>
    <w:rsid w:val="001F0EA9"/>
    <w:rsid w:val="001F3254"/>
    <w:rsid w:val="002025BD"/>
    <w:rsid w:val="00204EA0"/>
    <w:rsid w:val="002316C5"/>
    <w:rsid w:val="0024654A"/>
    <w:rsid w:val="00264457"/>
    <w:rsid w:val="00293DC4"/>
    <w:rsid w:val="002F06E8"/>
    <w:rsid w:val="002F15C0"/>
    <w:rsid w:val="002F2E43"/>
    <w:rsid w:val="002F704E"/>
    <w:rsid w:val="0030387C"/>
    <w:rsid w:val="00312E95"/>
    <w:rsid w:val="00321083"/>
    <w:rsid w:val="00324410"/>
    <w:rsid w:val="00325378"/>
    <w:rsid w:val="0034169A"/>
    <w:rsid w:val="0038675A"/>
    <w:rsid w:val="00391491"/>
    <w:rsid w:val="003A4577"/>
    <w:rsid w:val="003B6578"/>
    <w:rsid w:val="003B6C79"/>
    <w:rsid w:val="003C2F57"/>
    <w:rsid w:val="003F017B"/>
    <w:rsid w:val="004019C1"/>
    <w:rsid w:val="004037BF"/>
    <w:rsid w:val="00442A3E"/>
    <w:rsid w:val="004565B9"/>
    <w:rsid w:val="00457ACA"/>
    <w:rsid w:val="0047301C"/>
    <w:rsid w:val="00495D64"/>
    <w:rsid w:val="004A20C0"/>
    <w:rsid w:val="004A27FD"/>
    <w:rsid w:val="004B4AD5"/>
    <w:rsid w:val="004D362E"/>
    <w:rsid w:val="004D67F1"/>
    <w:rsid w:val="004E7DBD"/>
    <w:rsid w:val="004F0797"/>
    <w:rsid w:val="004F1462"/>
    <w:rsid w:val="004F704A"/>
    <w:rsid w:val="0051314E"/>
    <w:rsid w:val="00533C5E"/>
    <w:rsid w:val="00537E0A"/>
    <w:rsid w:val="005423F1"/>
    <w:rsid w:val="00542633"/>
    <w:rsid w:val="00560489"/>
    <w:rsid w:val="005825E8"/>
    <w:rsid w:val="005A2E5E"/>
    <w:rsid w:val="005A53DB"/>
    <w:rsid w:val="005B1096"/>
    <w:rsid w:val="005C34CB"/>
    <w:rsid w:val="005E4D9F"/>
    <w:rsid w:val="00621FF8"/>
    <w:rsid w:val="006223E8"/>
    <w:rsid w:val="00625A10"/>
    <w:rsid w:val="0063558C"/>
    <w:rsid w:val="0064088C"/>
    <w:rsid w:val="00655A5F"/>
    <w:rsid w:val="00670421"/>
    <w:rsid w:val="00671EF1"/>
    <w:rsid w:val="006A359B"/>
    <w:rsid w:val="006D0DD8"/>
    <w:rsid w:val="006D4D5C"/>
    <w:rsid w:val="006D5F68"/>
    <w:rsid w:val="006D631E"/>
    <w:rsid w:val="006F28F7"/>
    <w:rsid w:val="00710738"/>
    <w:rsid w:val="00720FB8"/>
    <w:rsid w:val="0072257B"/>
    <w:rsid w:val="00726534"/>
    <w:rsid w:val="00733CA7"/>
    <w:rsid w:val="007471FC"/>
    <w:rsid w:val="00755086"/>
    <w:rsid w:val="00755279"/>
    <w:rsid w:val="00761A1C"/>
    <w:rsid w:val="00776593"/>
    <w:rsid w:val="00780670"/>
    <w:rsid w:val="007A1BFA"/>
    <w:rsid w:val="007B6AFC"/>
    <w:rsid w:val="007C2986"/>
    <w:rsid w:val="007D7BCA"/>
    <w:rsid w:val="007F7251"/>
    <w:rsid w:val="008426C0"/>
    <w:rsid w:val="00860F44"/>
    <w:rsid w:val="00876908"/>
    <w:rsid w:val="008873DD"/>
    <w:rsid w:val="00890BCC"/>
    <w:rsid w:val="008931BD"/>
    <w:rsid w:val="00894F73"/>
    <w:rsid w:val="008A123B"/>
    <w:rsid w:val="008B6914"/>
    <w:rsid w:val="008B7348"/>
    <w:rsid w:val="008C5E8D"/>
    <w:rsid w:val="008D0644"/>
    <w:rsid w:val="009034C8"/>
    <w:rsid w:val="009378B4"/>
    <w:rsid w:val="009440C8"/>
    <w:rsid w:val="00954615"/>
    <w:rsid w:val="00957062"/>
    <w:rsid w:val="00963A45"/>
    <w:rsid w:val="009769B9"/>
    <w:rsid w:val="00980116"/>
    <w:rsid w:val="009937A8"/>
    <w:rsid w:val="00994DAC"/>
    <w:rsid w:val="0099531C"/>
    <w:rsid w:val="00996AE6"/>
    <w:rsid w:val="009B6829"/>
    <w:rsid w:val="009C4EF0"/>
    <w:rsid w:val="009D4A66"/>
    <w:rsid w:val="009E7B06"/>
    <w:rsid w:val="009F0EB0"/>
    <w:rsid w:val="009F5AFF"/>
    <w:rsid w:val="009F728A"/>
    <w:rsid w:val="00A16520"/>
    <w:rsid w:val="00A330D6"/>
    <w:rsid w:val="00A33D54"/>
    <w:rsid w:val="00A562A4"/>
    <w:rsid w:val="00A9033D"/>
    <w:rsid w:val="00AA343F"/>
    <w:rsid w:val="00AC4DE8"/>
    <w:rsid w:val="00AD75BB"/>
    <w:rsid w:val="00AF3C57"/>
    <w:rsid w:val="00AF498F"/>
    <w:rsid w:val="00B210CF"/>
    <w:rsid w:val="00B229F7"/>
    <w:rsid w:val="00B2612F"/>
    <w:rsid w:val="00B312A5"/>
    <w:rsid w:val="00B32841"/>
    <w:rsid w:val="00B42F75"/>
    <w:rsid w:val="00B62042"/>
    <w:rsid w:val="00B83138"/>
    <w:rsid w:val="00B92B6E"/>
    <w:rsid w:val="00BB22FA"/>
    <w:rsid w:val="00BB4314"/>
    <w:rsid w:val="00BD797A"/>
    <w:rsid w:val="00BE2EA8"/>
    <w:rsid w:val="00BE5388"/>
    <w:rsid w:val="00C61B85"/>
    <w:rsid w:val="00C73A36"/>
    <w:rsid w:val="00C7443D"/>
    <w:rsid w:val="00C92BF1"/>
    <w:rsid w:val="00C93E15"/>
    <w:rsid w:val="00CC11B0"/>
    <w:rsid w:val="00CC6D29"/>
    <w:rsid w:val="00CD0B49"/>
    <w:rsid w:val="00CD4E02"/>
    <w:rsid w:val="00CD7900"/>
    <w:rsid w:val="00CE1BE2"/>
    <w:rsid w:val="00CE4FC0"/>
    <w:rsid w:val="00CF2C48"/>
    <w:rsid w:val="00D02511"/>
    <w:rsid w:val="00D03501"/>
    <w:rsid w:val="00D12AE8"/>
    <w:rsid w:val="00D3527E"/>
    <w:rsid w:val="00D53C0F"/>
    <w:rsid w:val="00D747AD"/>
    <w:rsid w:val="00D9594D"/>
    <w:rsid w:val="00DA3BF0"/>
    <w:rsid w:val="00DC0DDA"/>
    <w:rsid w:val="00DC224A"/>
    <w:rsid w:val="00DE5CD0"/>
    <w:rsid w:val="00E05157"/>
    <w:rsid w:val="00E10048"/>
    <w:rsid w:val="00E33138"/>
    <w:rsid w:val="00E40AED"/>
    <w:rsid w:val="00E422D0"/>
    <w:rsid w:val="00E64444"/>
    <w:rsid w:val="00E70910"/>
    <w:rsid w:val="00E804A2"/>
    <w:rsid w:val="00EE7F61"/>
    <w:rsid w:val="00EF7E47"/>
    <w:rsid w:val="00F04930"/>
    <w:rsid w:val="00F12022"/>
    <w:rsid w:val="00F14FE7"/>
    <w:rsid w:val="00F158A4"/>
    <w:rsid w:val="00F40736"/>
    <w:rsid w:val="00F47BE4"/>
    <w:rsid w:val="00F504E4"/>
    <w:rsid w:val="00F55CCC"/>
    <w:rsid w:val="00F67F3F"/>
    <w:rsid w:val="00F96B23"/>
    <w:rsid w:val="00FA73C2"/>
    <w:rsid w:val="00FB283B"/>
    <w:rsid w:val="00FC5D3F"/>
    <w:rsid w:val="00FD2809"/>
    <w:rsid w:val="00FD6FA7"/>
    <w:rsid w:val="00FE3DCF"/>
    <w:rsid w:val="01644AA5"/>
    <w:rsid w:val="03405A86"/>
    <w:rsid w:val="03476309"/>
    <w:rsid w:val="0490455D"/>
    <w:rsid w:val="04B74F8A"/>
    <w:rsid w:val="05706FA0"/>
    <w:rsid w:val="05883A8F"/>
    <w:rsid w:val="059C668F"/>
    <w:rsid w:val="05A61860"/>
    <w:rsid w:val="05A6341C"/>
    <w:rsid w:val="06DF2E6F"/>
    <w:rsid w:val="07AD288C"/>
    <w:rsid w:val="0B562E85"/>
    <w:rsid w:val="0CE54DD5"/>
    <w:rsid w:val="0D2E16C2"/>
    <w:rsid w:val="0DD03729"/>
    <w:rsid w:val="0E044049"/>
    <w:rsid w:val="1016262F"/>
    <w:rsid w:val="109D58E3"/>
    <w:rsid w:val="10A05CF9"/>
    <w:rsid w:val="10BA7C2D"/>
    <w:rsid w:val="11680A35"/>
    <w:rsid w:val="11D85B5D"/>
    <w:rsid w:val="125D4B35"/>
    <w:rsid w:val="13E96B19"/>
    <w:rsid w:val="15653CC3"/>
    <w:rsid w:val="164E3096"/>
    <w:rsid w:val="181F6584"/>
    <w:rsid w:val="185537F9"/>
    <w:rsid w:val="18B47123"/>
    <w:rsid w:val="196C266E"/>
    <w:rsid w:val="1A1F326C"/>
    <w:rsid w:val="1A610916"/>
    <w:rsid w:val="1B835872"/>
    <w:rsid w:val="1DBB1D54"/>
    <w:rsid w:val="1DDA7353"/>
    <w:rsid w:val="1E076382"/>
    <w:rsid w:val="1E814CE4"/>
    <w:rsid w:val="1EB04595"/>
    <w:rsid w:val="1F9A1D72"/>
    <w:rsid w:val="20351124"/>
    <w:rsid w:val="22F17478"/>
    <w:rsid w:val="22F84FCF"/>
    <w:rsid w:val="23CB0175"/>
    <w:rsid w:val="24B3311D"/>
    <w:rsid w:val="24D112C4"/>
    <w:rsid w:val="251F6380"/>
    <w:rsid w:val="26642547"/>
    <w:rsid w:val="26D1337E"/>
    <w:rsid w:val="2727621C"/>
    <w:rsid w:val="28F864B8"/>
    <w:rsid w:val="2B82491F"/>
    <w:rsid w:val="2BA40B3F"/>
    <w:rsid w:val="2BBA7506"/>
    <w:rsid w:val="2C7A3687"/>
    <w:rsid w:val="2D7D57BB"/>
    <w:rsid w:val="2E565D03"/>
    <w:rsid w:val="30147E13"/>
    <w:rsid w:val="3044137C"/>
    <w:rsid w:val="322F59CA"/>
    <w:rsid w:val="327F30E1"/>
    <w:rsid w:val="32E31764"/>
    <w:rsid w:val="335A168C"/>
    <w:rsid w:val="33C2187C"/>
    <w:rsid w:val="35722C2E"/>
    <w:rsid w:val="36C16458"/>
    <w:rsid w:val="36C70CCB"/>
    <w:rsid w:val="387E5EAE"/>
    <w:rsid w:val="38B15019"/>
    <w:rsid w:val="38D26FCB"/>
    <w:rsid w:val="399E4DA5"/>
    <w:rsid w:val="39B9276C"/>
    <w:rsid w:val="3AE55A32"/>
    <w:rsid w:val="3B927F74"/>
    <w:rsid w:val="3C4A67AB"/>
    <w:rsid w:val="3C4E09B0"/>
    <w:rsid w:val="3DC25DBC"/>
    <w:rsid w:val="3EE625E5"/>
    <w:rsid w:val="3F972F71"/>
    <w:rsid w:val="3FFE219F"/>
    <w:rsid w:val="40502DFC"/>
    <w:rsid w:val="40BC04D5"/>
    <w:rsid w:val="41627272"/>
    <w:rsid w:val="424C0551"/>
    <w:rsid w:val="4503057B"/>
    <w:rsid w:val="47502F51"/>
    <w:rsid w:val="475F51F4"/>
    <w:rsid w:val="4802461E"/>
    <w:rsid w:val="48254C52"/>
    <w:rsid w:val="48724BD7"/>
    <w:rsid w:val="49FC34AE"/>
    <w:rsid w:val="4A0475CB"/>
    <w:rsid w:val="4A6F7C28"/>
    <w:rsid w:val="4A9078A2"/>
    <w:rsid w:val="4AF8171A"/>
    <w:rsid w:val="4C3B36B6"/>
    <w:rsid w:val="4DAB5DC0"/>
    <w:rsid w:val="50075E26"/>
    <w:rsid w:val="50CD6382"/>
    <w:rsid w:val="5193081F"/>
    <w:rsid w:val="51BA5FA0"/>
    <w:rsid w:val="5315677F"/>
    <w:rsid w:val="55F70F38"/>
    <w:rsid w:val="5772338C"/>
    <w:rsid w:val="585761B6"/>
    <w:rsid w:val="58B96B93"/>
    <w:rsid w:val="58D52413"/>
    <w:rsid w:val="590D02DF"/>
    <w:rsid w:val="596F4FAE"/>
    <w:rsid w:val="59E551A6"/>
    <w:rsid w:val="5AA25250"/>
    <w:rsid w:val="5B870FDA"/>
    <w:rsid w:val="5B903137"/>
    <w:rsid w:val="5CF651CA"/>
    <w:rsid w:val="5D924A1A"/>
    <w:rsid w:val="5DC0464C"/>
    <w:rsid w:val="5F1D5F64"/>
    <w:rsid w:val="5FB52168"/>
    <w:rsid w:val="5FBE64C7"/>
    <w:rsid w:val="616D2301"/>
    <w:rsid w:val="61A510F5"/>
    <w:rsid w:val="620F4B7B"/>
    <w:rsid w:val="62A273F2"/>
    <w:rsid w:val="638715A8"/>
    <w:rsid w:val="639666BE"/>
    <w:rsid w:val="64A72804"/>
    <w:rsid w:val="6506581F"/>
    <w:rsid w:val="6567723C"/>
    <w:rsid w:val="657A5707"/>
    <w:rsid w:val="67E550AD"/>
    <w:rsid w:val="693078E5"/>
    <w:rsid w:val="6A8F7F00"/>
    <w:rsid w:val="6CE25252"/>
    <w:rsid w:val="6EB300D0"/>
    <w:rsid w:val="6EF62DAD"/>
    <w:rsid w:val="723824EF"/>
    <w:rsid w:val="73093820"/>
    <w:rsid w:val="75EA455F"/>
    <w:rsid w:val="7624284A"/>
    <w:rsid w:val="76752849"/>
    <w:rsid w:val="7840675B"/>
    <w:rsid w:val="78D22C65"/>
    <w:rsid w:val="7A3D0439"/>
    <w:rsid w:val="7B79087A"/>
    <w:rsid w:val="7BB55FE6"/>
    <w:rsid w:val="7CF6260D"/>
    <w:rsid w:val="7E8578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numPr>
        <w:ilvl w:val="0"/>
        <w:numId w:val="1"/>
      </w:numPr>
      <w:autoSpaceDE w:val="0"/>
      <w:autoSpaceDN w:val="0"/>
      <w:adjustRightInd w:val="0"/>
      <w:jc w:val="center"/>
      <w:outlineLvl w:val="0"/>
    </w:pPr>
    <w:rPr>
      <w:b/>
      <w:color w:val="0000FF"/>
      <w:kern w:val="0"/>
      <w:sz w:val="52"/>
      <w:szCs w:val="20"/>
    </w:rPr>
  </w:style>
  <w:style w:type="paragraph" w:styleId="4">
    <w:name w:val="heading 2"/>
    <w:basedOn w:val="1"/>
    <w:next w:val="1"/>
    <w:qFormat/>
    <w:uiPriority w:val="0"/>
    <w:pPr>
      <w:autoSpaceDE w:val="0"/>
      <w:autoSpaceDN w:val="0"/>
      <w:adjustRightInd w:val="0"/>
      <w:spacing w:line="360" w:lineRule="auto"/>
      <w:jc w:val="center"/>
      <w:outlineLvl w:val="1"/>
    </w:pPr>
    <w:rPr>
      <w:rFonts w:ascii="宋体" w:hAnsi="宋体"/>
      <w:b/>
      <w:color w:val="000000"/>
      <w:kern w:val="0"/>
      <w:sz w:val="30"/>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numPr>
        <w:ilvl w:val="3"/>
        <w:numId w:val="1"/>
      </w:numPr>
      <w:outlineLvl w:val="3"/>
    </w:pPr>
    <w:rPr>
      <w:rFonts w:ascii="宋体"/>
      <w:color w:val="0000FF"/>
      <w:sz w:val="28"/>
      <w:szCs w:val="20"/>
    </w:rPr>
  </w:style>
  <w:style w:type="paragraph" w:styleId="7">
    <w:name w:val="heading 5"/>
    <w:basedOn w:val="1"/>
    <w:next w:val="1"/>
    <w:qFormat/>
    <w:uiPriority w:val="0"/>
    <w:pPr>
      <w:numPr>
        <w:ilvl w:val="4"/>
        <w:numId w:val="1"/>
      </w:numPr>
      <w:spacing w:before="120"/>
      <w:ind w:firstLine="540"/>
      <w:outlineLvl w:val="4"/>
    </w:pPr>
    <w:rPr>
      <w:rFonts w:ascii="宋体"/>
      <w:b/>
      <w:color w:val="0000FF"/>
      <w:sz w:val="28"/>
      <w:szCs w:val="20"/>
    </w:rPr>
  </w:style>
  <w:style w:type="paragraph" w:styleId="8">
    <w:name w:val="heading 6"/>
    <w:basedOn w:val="1"/>
    <w:next w:val="1"/>
    <w:qFormat/>
    <w:uiPriority w:val="0"/>
    <w:pPr>
      <w:numPr>
        <w:ilvl w:val="5"/>
        <w:numId w:val="1"/>
      </w:numPr>
      <w:outlineLvl w:val="5"/>
    </w:pPr>
    <w:rPr>
      <w:color w:val="0000FF"/>
      <w:sz w:val="28"/>
      <w:szCs w:val="20"/>
    </w:rPr>
  </w:style>
  <w:style w:type="character" w:default="1" w:styleId="13">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宋体" w:hAnsi="宋体"/>
      <w:color w:val="0000FF"/>
      <w:sz w:val="28"/>
    </w:rPr>
  </w:style>
  <w:style w:type="paragraph" w:styleId="9">
    <w:name w:val="annotation text"/>
    <w:basedOn w:val="1"/>
    <w:semiHidden/>
    <w:qFormat/>
    <w:uiPriority w:val="0"/>
    <w:pPr>
      <w:jc w:val="left"/>
    </w:pPr>
    <w:rPr>
      <w:color w:val="0000FF"/>
      <w:sz w:val="24"/>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 w:type="character" w:styleId="15">
    <w:name w:val="Hyperlink"/>
    <w:qFormat/>
    <w:uiPriority w:val="0"/>
    <w:rPr>
      <w:color w:val="0000FF"/>
      <w:u w:val="single"/>
    </w:rPr>
  </w:style>
  <w:style w:type="character" w:styleId="16">
    <w:name w:val="annotation reference"/>
    <w:semiHidden/>
    <w:qFormat/>
    <w:uiPriority w:val="0"/>
    <w:rPr>
      <w:sz w:val="21"/>
      <w:szCs w:val="21"/>
    </w:rPr>
  </w:style>
  <w:style w:type="character" w:customStyle="1" w:styleId="18">
    <w:name w:val="页眉 Char"/>
    <w:link w:val="12"/>
    <w:qFormat/>
    <w:uiPriority w:val="0"/>
    <w:rPr>
      <w:kern w:val="2"/>
      <w:sz w:val="18"/>
      <w:szCs w:val="18"/>
    </w:rPr>
  </w:style>
  <w:style w:type="paragraph" w:customStyle="1" w:styleId="19">
    <w:name w:val="Normal"/>
    <w:qFormat/>
    <w:uiPriority w:val="0"/>
    <w:pPr>
      <w:widowControl w:val="0"/>
      <w:jc w:val="both"/>
    </w:pPr>
    <w:rPr>
      <w:rFonts w:ascii="Calibri" w:hAnsi="Calibri" w:eastAsia="宋体" w:cs="Times New Roman"/>
      <w:lang w:val="en-US" w:eastAsia="zh-CN" w:bidi="ar-SA"/>
    </w:rPr>
  </w:style>
  <w:style w:type="paragraph" w:customStyle="1" w:styleId="2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zw"/>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0"/>
    <w:qFormat/>
    <w:uiPriority w:val="0"/>
    <w:pPr>
      <w:widowControl w:val="0"/>
      <w:jc w:val="both"/>
    </w:pPr>
    <w:rPr>
      <w:rFonts w:ascii="Times New Roman" w:hAnsi="Times New Roman" w:eastAsia="宋体" w:cs="Times New Roman"/>
      <w:kern w:val="2"/>
      <w:sz w:val="21"/>
      <w:lang w:val="en-US" w:eastAsia="zh-CN" w:bidi="ar-SA"/>
    </w:rPr>
  </w:style>
  <w:style w:type="paragraph" w:styleId="26">
    <w:name w:val="List Paragraph"/>
    <w:basedOn w:val="1"/>
    <w:qFormat/>
    <w:uiPriority w:val="34"/>
    <w:pPr>
      <w:ind w:firstLine="420" w:firstLineChars="200"/>
    </w:pPr>
  </w:style>
  <w:style w:type="paragraph" w:customStyle="1" w:styleId="27">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Char Char"/>
    <w:basedOn w:val="1"/>
    <w:qFormat/>
    <w:uiPriority w:val="0"/>
    <w:rPr>
      <w:rFonts w:ascii="Tahoma" w:hAnsi="Tahoma"/>
      <w:sz w:val="24"/>
      <w:szCs w:val="20"/>
    </w:rPr>
  </w:style>
  <w:style w:type="paragraph" w:customStyle="1" w:styleId="30">
    <w:name w:val="正文1_0"/>
    <w:unhideWhenUsed/>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3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33">
    <w:name w:val="投标正文小四"/>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187</Words>
  <Characters>1071</Characters>
  <Lines>8</Lines>
  <Paragraphs>2</Paragraphs>
  <TotalTime>0</TotalTime>
  <ScaleCrop>false</ScaleCrop>
  <LinksUpToDate>false</LinksUpToDate>
  <CharactersWithSpaces>1256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2017-09-30T06:21:00Z</dcterms:created>
  <dc:creator>何卓瑜</dc:creator>
  <cp:lastModifiedBy>李铜光</cp:lastModifiedBy>
  <cp:lastPrinted>2014-12-12T03:16:00Z</cp:lastPrinted>
  <dcterms:modified xsi:type="dcterms:W3CDTF">2025-02-08T01:28:35Z</dcterms:modified>
  <dc:title>用户需求书（参考格式）</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31FB4BDC95B44688B1429913338D340E_13</vt:lpwstr>
  </property>
</Properties>
</file>